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A2" w:rsidRPr="000304A2" w:rsidRDefault="00EA6CA2" w:rsidP="00EA6CA2">
      <w:pPr>
        <w:jc w:val="center"/>
        <w:rPr>
          <w:rFonts w:ascii="Minion Pro" w:hAnsi="Minion Pro"/>
        </w:rPr>
      </w:pPr>
      <w:r w:rsidRPr="000304A2">
        <w:rPr>
          <w:rFonts w:ascii="Minion Pro" w:hAnsi="Minion Pro"/>
          <w:noProof/>
        </w:rPr>
        <w:drawing>
          <wp:inline distT="0" distB="0" distL="0" distR="0" wp14:anchorId="7D1157ED" wp14:editId="1D67120A">
            <wp:extent cx="2698750" cy="1508607"/>
            <wp:effectExtent l="19050" t="0" r="6350" b="0"/>
            <wp:docPr id="2" name="Picture 2" descr="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ate Logo"/>
                    <pic:cNvPicPr>
                      <a:picLocks noChangeAspect="1" noChangeArrowheads="1"/>
                    </pic:cNvPicPr>
                  </pic:nvPicPr>
                  <pic:blipFill>
                    <a:blip r:embed="rId6"/>
                    <a:srcRect/>
                    <a:stretch>
                      <a:fillRect/>
                    </a:stretch>
                  </pic:blipFill>
                  <pic:spPr bwMode="auto">
                    <a:xfrm>
                      <a:off x="0" y="0"/>
                      <a:ext cx="2700146" cy="1509387"/>
                    </a:xfrm>
                    <a:prstGeom prst="rect">
                      <a:avLst/>
                    </a:prstGeom>
                    <a:noFill/>
                    <a:ln w="9525">
                      <a:noFill/>
                      <a:miter lim="800000"/>
                      <a:headEnd/>
                      <a:tailEnd/>
                    </a:ln>
                  </pic:spPr>
                </pic:pic>
              </a:graphicData>
            </a:graphic>
          </wp:inline>
        </w:drawing>
      </w:r>
    </w:p>
    <w:p w:rsidR="009A485A" w:rsidRPr="000304A2" w:rsidRDefault="009A485A" w:rsidP="009A485A">
      <w:pPr>
        <w:jc w:val="center"/>
        <w:rPr>
          <w:rFonts w:ascii="Minion Pro" w:hAnsi="Minion Pro"/>
        </w:rPr>
      </w:pPr>
      <w:r w:rsidRPr="000304A2">
        <w:rPr>
          <w:rFonts w:ascii="Minion Pro" w:hAnsi="Minion Pro" w:cs="Times New Roman"/>
          <w:sz w:val="24"/>
          <w:szCs w:val="24"/>
        </w:rPr>
        <w:t xml:space="preserve">Tuesday, </w:t>
      </w:r>
      <w:r w:rsidR="00A31935">
        <w:rPr>
          <w:rFonts w:ascii="Minion Pro" w:hAnsi="Minion Pro" w:cs="Times New Roman"/>
          <w:sz w:val="24"/>
          <w:szCs w:val="24"/>
        </w:rPr>
        <w:t>November</w:t>
      </w:r>
      <w:r w:rsidR="00F36965">
        <w:rPr>
          <w:rFonts w:ascii="Minion Pro" w:hAnsi="Minion Pro" w:cs="Times New Roman"/>
          <w:sz w:val="24"/>
          <w:szCs w:val="24"/>
        </w:rPr>
        <w:t xml:space="preserve"> 18</w:t>
      </w:r>
      <w:r w:rsidR="004532B3" w:rsidRPr="000304A2">
        <w:rPr>
          <w:rFonts w:ascii="Minion Pro" w:hAnsi="Minion Pro" w:cs="Times New Roman"/>
          <w:sz w:val="24"/>
          <w:szCs w:val="24"/>
        </w:rPr>
        <w:t>, 2014 | 3:3</w:t>
      </w:r>
      <w:r w:rsidRPr="000304A2">
        <w:rPr>
          <w:rFonts w:ascii="Minion Pro" w:hAnsi="Minion Pro" w:cs="Times New Roman"/>
          <w:sz w:val="24"/>
          <w:szCs w:val="24"/>
        </w:rPr>
        <w:t xml:space="preserve">0pm </w:t>
      </w:r>
      <w:r w:rsidRPr="000304A2">
        <w:rPr>
          <w:rFonts w:ascii="Minion Pro" w:hAnsi="Minion Pro" w:cs="Times New Roman"/>
          <w:b/>
          <w:sz w:val="24"/>
          <w:szCs w:val="24"/>
        </w:rPr>
        <w:t xml:space="preserve">| </w:t>
      </w:r>
      <w:r w:rsidR="00773A1E" w:rsidRPr="00773A1E">
        <w:rPr>
          <w:rFonts w:ascii="Minion Pro" w:hAnsi="Minion Pro" w:cs="Times New Roman"/>
          <w:sz w:val="24"/>
          <w:szCs w:val="24"/>
        </w:rPr>
        <w:t xml:space="preserve">Meeting </w:t>
      </w:r>
      <w:r w:rsidR="00F36965" w:rsidRPr="00773A1E">
        <w:rPr>
          <w:rFonts w:ascii="Minion Pro" w:hAnsi="Minion Pro" w:cs="Times New Roman"/>
          <w:sz w:val="24"/>
          <w:szCs w:val="24"/>
        </w:rPr>
        <w:t>Room</w:t>
      </w:r>
      <w:r w:rsidR="00F36965">
        <w:rPr>
          <w:rFonts w:ascii="Minion Pro" w:hAnsi="Minion Pro" w:cs="Times New Roman"/>
          <w:sz w:val="24"/>
          <w:szCs w:val="24"/>
        </w:rPr>
        <w:t xml:space="preserve"> 5C</w:t>
      </w:r>
      <w:r w:rsidR="000304A2">
        <w:rPr>
          <w:rFonts w:ascii="Minion Pro" w:hAnsi="Minion Pro" w:cs="Times New Roman"/>
          <w:sz w:val="24"/>
          <w:szCs w:val="24"/>
        </w:rPr>
        <w:t xml:space="preserve">, </w:t>
      </w:r>
      <w:r w:rsidR="00F36965">
        <w:rPr>
          <w:rFonts w:ascii="Minion Pro" w:hAnsi="Minion Pro" w:cs="Times New Roman"/>
          <w:sz w:val="24"/>
          <w:szCs w:val="24"/>
        </w:rPr>
        <w:t>Kelly Commons</w:t>
      </w:r>
    </w:p>
    <w:p w:rsidR="009A485A" w:rsidRPr="000304A2" w:rsidRDefault="009A485A" w:rsidP="009A485A">
      <w:pPr>
        <w:pStyle w:val="ListParagraph"/>
        <w:jc w:val="center"/>
        <w:rPr>
          <w:rFonts w:ascii="Minion Pro" w:hAnsi="Minion Pro" w:cs="Times New Roman"/>
          <w:b/>
          <w:sz w:val="32"/>
          <w:szCs w:val="24"/>
        </w:rPr>
      </w:pPr>
    </w:p>
    <w:p w:rsidR="009A485A" w:rsidRPr="000304A2" w:rsidRDefault="000304A2" w:rsidP="009A485A">
      <w:pPr>
        <w:pStyle w:val="ListParagraph"/>
        <w:jc w:val="center"/>
        <w:rPr>
          <w:rFonts w:ascii="Minion Pro" w:hAnsi="Minion Pro" w:cs="Times New Roman"/>
          <w:b/>
          <w:sz w:val="32"/>
          <w:szCs w:val="24"/>
        </w:rPr>
      </w:pPr>
      <w:r>
        <w:rPr>
          <w:rFonts w:ascii="Minion Pro" w:hAnsi="Minion Pro" w:cs="Times New Roman"/>
          <w:b/>
          <w:sz w:val="32"/>
          <w:szCs w:val="24"/>
        </w:rPr>
        <w:t>Minutes</w:t>
      </w:r>
    </w:p>
    <w:p w:rsidR="000304A2" w:rsidRPr="005F7534" w:rsidRDefault="000304A2" w:rsidP="005F7534">
      <w:pPr>
        <w:ind w:left="360"/>
        <w:rPr>
          <w:rFonts w:ascii="Minion Pro" w:hAnsi="Minion Pro" w:cs="Times New Roman"/>
          <w:sz w:val="24"/>
          <w:u w:val="single"/>
        </w:rPr>
      </w:pPr>
      <w:r w:rsidRPr="005F7534">
        <w:rPr>
          <w:rFonts w:ascii="Minion Pro" w:hAnsi="Minion Pro" w:cs="Times New Roman"/>
          <w:sz w:val="24"/>
          <w:u w:val="single"/>
        </w:rPr>
        <w:t>In Attendance:</w:t>
      </w:r>
      <w:r w:rsidR="005F7534" w:rsidRPr="005F7534">
        <w:rPr>
          <w:rFonts w:ascii="Minion Pro" w:hAnsi="Minion Pro" w:cs="Times New Roman"/>
          <w:sz w:val="24"/>
        </w:rPr>
        <w:t xml:space="preserve">  </w:t>
      </w:r>
      <w:r>
        <w:rPr>
          <w:rFonts w:ascii="Minion Pro" w:hAnsi="Minion Pro" w:cs="Times New Roman"/>
          <w:sz w:val="24"/>
        </w:rPr>
        <w:t xml:space="preserve">Amy Handfield, Andrew </w:t>
      </w:r>
      <w:r w:rsidR="008C32DB">
        <w:rPr>
          <w:rFonts w:ascii="Minion Pro" w:hAnsi="Minion Pro" w:cs="Times New Roman"/>
          <w:sz w:val="24"/>
        </w:rPr>
        <w:t>Greene, Constantine Theodosiou,</w:t>
      </w:r>
      <w:r w:rsidR="00F36965">
        <w:rPr>
          <w:rFonts w:ascii="Minion Pro" w:hAnsi="Minion Pro" w:cs="Times New Roman"/>
          <w:sz w:val="24"/>
        </w:rPr>
        <w:t xml:space="preserve"> Giancarlo Schillaci,</w:t>
      </w:r>
      <w:r w:rsidR="008C32DB">
        <w:rPr>
          <w:rFonts w:ascii="Minion Pro" w:hAnsi="Minion Pro" w:cs="Times New Roman"/>
          <w:sz w:val="24"/>
        </w:rPr>
        <w:t xml:space="preserve"> Goli Nossoni</w:t>
      </w:r>
      <w:r>
        <w:rPr>
          <w:rFonts w:ascii="Minion Pro" w:hAnsi="Minion Pro" w:cs="Times New Roman"/>
          <w:sz w:val="24"/>
        </w:rPr>
        <w:t xml:space="preserve">, </w:t>
      </w:r>
      <w:r w:rsidR="00F36965">
        <w:rPr>
          <w:rFonts w:ascii="Minion Pro" w:hAnsi="Minion Pro" w:cs="Times New Roman"/>
          <w:sz w:val="24"/>
        </w:rPr>
        <w:t xml:space="preserve">Jawanza Clark, </w:t>
      </w:r>
      <w:r>
        <w:rPr>
          <w:rFonts w:ascii="Minion Pro" w:hAnsi="Minion Pro" w:cs="Times New Roman"/>
          <w:sz w:val="24"/>
        </w:rPr>
        <w:t xml:space="preserve">John Leylegian, Kevin Hill, Kudret </w:t>
      </w:r>
      <w:r w:rsidR="008C32DB">
        <w:rPr>
          <w:rFonts w:ascii="Minion Pro" w:hAnsi="Minion Pro" w:cs="Times New Roman"/>
          <w:sz w:val="24"/>
        </w:rPr>
        <w:t>Topyan</w:t>
      </w:r>
      <w:r>
        <w:rPr>
          <w:rFonts w:ascii="Minion Pro" w:hAnsi="Minion Pro" w:cs="Times New Roman"/>
          <w:sz w:val="24"/>
        </w:rPr>
        <w:t xml:space="preserve">, </w:t>
      </w:r>
      <w:r w:rsidR="00F36965">
        <w:rPr>
          <w:rFonts w:ascii="Minion Pro" w:hAnsi="Minion Pro" w:cs="Times New Roman"/>
          <w:sz w:val="24"/>
        </w:rPr>
        <w:t xml:space="preserve">Kyle Karp, </w:t>
      </w:r>
      <w:r w:rsidR="008C32DB">
        <w:rPr>
          <w:rFonts w:ascii="Minion Pro" w:hAnsi="Minion Pro" w:cs="Times New Roman"/>
          <w:sz w:val="24"/>
        </w:rPr>
        <w:t xml:space="preserve">Margaret McKiernan, Matthew Jura, </w:t>
      </w:r>
      <w:r w:rsidR="00F36965">
        <w:rPr>
          <w:rFonts w:ascii="Minion Pro" w:hAnsi="Minion Pro" w:cs="Times New Roman"/>
          <w:sz w:val="24"/>
        </w:rPr>
        <w:t xml:space="preserve">Monica Horan, </w:t>
      </w:r>
      <w:r w:rsidR="008C32DB">
        <w:rPr>
          <w:rFonts w:ascii="Minion Pro" w:hAnsi="Minion Pro" w:cs="Times New Roman"/>
          <w:sz w:val="24"/>
        </w:rPr>
        <w:t xml:space="preserve">Patricia Sheridan, </w:t>
      </w:r>
      <w:r w:rsidR="00F36965">
        <w:rPr>
          <w:rFonts w:ascii="Minion Pro" w:hAnsi="Minion Pro" w:cs="Times New Roman"/>
          <w:sz w:val="24"/>
        </w:rPr>
        <w:t xml:space="preserve">Patrick McCann, </w:t>
      </w:r>
      <w:r w:rsidR="008C32DB">
        <w:rPr>
          <w:rFonts w:ascii="Minion Pro" w:hAnsi="Minion Pro" w:cs="Times New Roman"/>
          <w:sz w:val="24"/>
        </w:rPr>
        <w:t>Paul Droubie</w:t>
      </w:r>
      <w:r w:rsidR="00DA02CB">
        <w:rPr>
          <w:rFonts w:ascii="Minion Pro" w:hAnsi="Minion Pro" w:cs="Times New Roman"/>
          <w:sz w:val="24"/>
        </w:rPr>
        <w:t xml:space="preserve">, </w:t>
      </w:r>
      <w:r w:rsidR="00F36965">
        <w:rPr>
          <w:rFonts w:ascii="Minion Pro" w:hAnsi="Minion Pro" w:cs="Times New Roman"/>
          <w:sz w:val="24"/>
        </w:rPr>
        <w:t>Peter McCarthy</w:t>
      </w:r>
      <w:r w:rsidR="008C32DB">
        <w:rPr>
          <w:rFonts w:ascii="Minion Pro" w:hAnsi="Minion Pro" w:cs="Times New Roman"/>
          <w:sz w:val="24"/>
        </w:rPr>
        <w:t xml:space="preserve"> , Syrita Newman, William Casey</w:t>
      </w:r>
      <w:r w:rsidR="00DA02CB">
        <w:rPr>
          <w:rFonts w:ascii="Minion Pro" w:hAnsi="Minion Pro" w:cs="Times New Roman"/>
          <w:sz w:val="24"/>
        </w:rPr>
        <w:t xml:space="preserve">, </w:t>
      </w:r>
      <w:r w:rsidR="00F36965">
        <w:rPr>
          <w:rFonts w:ascii="Minion Pro" w:hAnsi="Minion Pro" w:cs="Times New Roman"/>
          <w:sz w:val="24"/>
        </w:rPr>
        <w:t xml:space="preserve">William Clyde, </w:t>
      </w:r>
      <w:r w:rsidR="00DA02CB">
        <w:rPr>
          <w:rFonts w:ascii="Minion Pro" w:hAnsi="Minion Pro" w:cs="Times New Roman"/>
          <w:sz w:val="24"/>
        </w:rPr>
        <w:t>William Merriman.</w:t>
      </w:r>
    </w:p>
    <w:p w:rsidR="00DA02CB" w:rsidRPr="000304A2" w:rsidRDefault="00DA02CB" w:rsidP="000304A2">
      <w:pPr>
        <w:ind w:left="360"/>
        <w:rPr>
          <w:rFonts w:ascii="Minion Pro" w:hAnsi="Minion Pro" w:cs="Times New Roman"/>
          <w:sz w:val="24"/>
        </w:rPr>
      </w:pPr>
      <w:r w:rsidRPr="005F7534">
        <w:rPr>
          <w:rFonts w:ascii="Minion Pro" w:hAnsi="Minion Pro" w:cs="Times New Roman"/>
          <w:sz w:val="24"/>
          <w:u w:val="single"/>
        </w:rPr>
        <w:t>Absent:</w:t>
      </w:r>
      <w:r>
        <w:rPr>
          <w:rFonts w:ascii="Minion Pro" w:hAnsi="Minion Pro" w:cs="Times New Roman"/>
          <w:sz w:val="24"/>
        </w:rPr>
        <w:t xml:space="preserve"> Alex Shalian, </w:t>
      </w:r>
      <w:r w:rsidR="00F36965">
        <w:rPr>
          <w:rFonts w:ascii="Minion Pro" w:hAnsi="Minion Pro" w:cs="Times New Roman"/>
          <w:sz w:val="24"/>
        </w:rPr>
        <w:t>John Tudisco, Kimberly Hickey (excused), Michael McEneney</w:t>
      </w:r>
      <w:r w:rsidR="00A31935">
        <w:rPr>
          <w:rFonts w:ascii="Minion Pro" w:hAnsi="Minion Pro" w:cs="Times New Roman"/>
          <w:sz w:val="24"/>
        </w:rPr>
        <w:t xml:space="preserve"> (excused)</w:t>
      </w:r>
      <w:bookmarkStart w:id="0" w:name="_GoBack"/>
      <w:bookmarkEnd w:id="0"/>
      <w:r w:rsidR="00F36965">
        <w:rPr>
          <w:rFonts w:ascii="Minion Pro" w:hAnsi="Minion Pro" w:cs="Times New Roman"/>
          <w:sz w:val="24"/>
        </w:rPr>
        <w:t>, Ming Hsu (excused), Richard Satterlee, Sonny Ago (excused).</w:t>
      </w:r>
    </w:p>
    <w:p w:rsidR="009A485A" w:rsidRDefault="00DA02CB" w:rsidP="00DA02CB">
      <w:pPr>
        <w:pStyle w:val="ListParagraph"/>
        <w:numPr>
          <w:ilvl w:val="0"/>
          <w:numId w:val="1"/>
        </w:numPr>
        <w:rPr>
          <w:rFonts w:ascii="Minion Pro" w:hAnsi="Minion Pro" w:cs="Times New Roman"/>
          <w:sz w:val="24"/>
        </w:rPr>
      </w:pPr>
      <w:r>
        <w:rPr>
          <w:rFonts w:ascii="Minion Pro" w:hAnsi="Minion Pro" w:cs="Times New Roman"/>
          <w:sz w:val="24"/>
        </w:rPr>
        <w:t>Roll was taken.  Quorum was met.</w:t>
      </w:r>
      <w:r w:rsidR="00A07088">
        <w:rPr>
          <w:rFonts w:ascii="Minion Pro" w:hAnsi="Minion Pro" w:cs="Times New Roman"/>
          <w:sz w:val="24"/>
        </w:rPr>
        <w:t xml:space="preserve">  Meeting called to order by Speaker Droubie.</w:t>
      </w:r>
    </w:p>
    <w:p w:rsidR="00DA02CB" w:rsidRPr="00DA02CB" w:rsidRDefault="00DA02CB" w:rsidP="00DA02CB">
      <w:pPr>
        <w:pStyle w:val="ListParagraph"/>
        <w:numPr>
          <w:ilvl w:val="0"/>
          <w:numId w:val="1"/>
        </w:numPr>
        <w:rPr>
          <w:rFonts w:ascii="Minion Pro" w:hAnsi="Minion Pro" w:cs="Times New Roman"/>
          <w:sz w:val="24"/>
        </w:rPr>
      </w:pPr>
      <w:r>
        <w:rPr>
          <w:rFonts w:ascii="Minion Pro" w:hAnsi="Minion Pro" w:cs="Times New Roman"/>
          <w:sz w:val="24"/>
        </w:rPr>
        <w:t xml:space="preserve">The Agenda for the </w:t>
      </w:r>
      <w:r w:rsidR="00F36965">
        <w:rPr>
          <w:rFonts w:ascii="Minion Pro" w:hAnsi="Minion Pro" w:cs="Times New Roman"/>
          <w:sz w:val="24"/>
        </w:rPr>
        <w:t>November 18</w:t>
      </w:r>
      <w:r>
        <w:rPr>
          <w:rFonts w:ascii="Minion Pro" w:hAnsi="Minion Pro" w:cs="Times New Roman"/>
          <w:sz w:val="24"/>
        </w:rPr>
        <w:t>, 2014 meeting of the Senate was approved.</w:t>
      </w:r>
    </w:p>
    <w:p w:rsidR="009A485A" w:rsidRPr="000304A2" w:rsidRDefault="009162B9" w:rsidP="009A485A">
      <w:pPr>
        <w:pStyle w:val="ListParagraph"/>
        <w:numPr>
          <w:ilvl w:val="0"/>
          <w:numId w:val="1"/>
        </w:numPr>
        <w:rPr>
          <w:rFonts w:ascii="Minion Pro" w:hAnsi="Minion Pro" w:cs="Times New Roman"/>
          <w:sz w:val="24"/>
        </w:rPr>
      </w:pPr>
      <w:r>
        <w:rPr>
          <w:rFonts w:ascii="Minion Pro" w:hAnsi="Minion Pro" w:cs="Times New Roman"/>
          <w:sz w:val="24"/>
        </w:rPr>
        <w:t>An error in item VI.a.iii</w:t>
      </w:r>
      <w:r w:rsidR="00773A1E">
        <w:rPr>
          <w:rFonts w:ascii="Minion Pro" w:hAnsi="Minion Pro" w:cs="Times New Roman"/>
          <w:sz w:val="24"/>
        </w:rPr>
        <w:t>.</w:t>
      </w:r>
      <w:r w:rsidR="009A485A" w:rsidRPr="000304A2">
        <w:rPr>
          <w:rFonts w:ascii="Minion Pro" w:hAnsi="Minion Pro" w:cs="Times New Roman"/>
          <w:sz w:val="24"/>
        </w:rPr>
        <w:t xml:space="preserve"> Minutes</w:t>
      </w:r>
      <w:r w:rsidR="00DA02CB">
        <w:rPr>
          <w:rFonts w:ascii="Minion Pro" w:hAnsi="Minion Pro" w:cs="Times New Roman"/>
          <w:sz w:val="24"/>
        </w:rPr>
        <w:t xml:space="preserve"> of the </w:t>
      </w:r>
      <w:r w:rsidR="00F36965">
        <w:rPr>
          <w:rFonts w:ascii="Minion Pro" w:hAnsi="Minion Pro" w:cs="Times New Roman"/>
          <w:sz w:val="24"/>
        </w:rPr>
        <w:t>October 21</w:t>
      </w:r>
      <w:r w:rsidR="00DA02CB">
        <w:rPr>
          <w:rFonts w:ascii="Minion Pro" w:hAnsi="Minion Pro" w:cs="Times New Roman"/>
          <w:sz w:val="24"/>
        </w:rPr>
        <w:t xml:space="preserve">, 2014 meeting of the Senate </w:t>
      </w:r>
      <w:r>
        <w:rPr>
          <w:rFonts w:ascii="Minion Pro" w:hAnsi="Minion Pro" w:cs="Times New Roman"/>
          <w:sz w:val="24"/>
        </w:rPr>
        <w:t xml:space="preserve">was noted by Senator Merriman. “Maryland” should be changed to “Loyola University.” The change was noted and the </w:t>
      </w:r>
      <w:r w:rsidR="00773A1E">
        <w:rPr>
          <w:rFonts w:ascii="Minion Pro" w:hAnsi="Minion Pro" w:cs="Times New Roman"/>
          <w:sz w:val="24"/>
        </w:rPr>
        <w:t xml:space="preserve">updated </w:t>
      </w:r>
      <w:r>
        <w:rPr>
          <w:rFonts w:ascii="Minion Pro" w:hAnsi="Minion Pro" w:cs="Times New Roman"/>
          <w:sz w:val="24"/>
        </w:rPr>
        <w:t>Minutes were subsequently approved.</w:t>
      </w:r>
    </w:p>
    <w:p w:rsidR="009A485A" w:rsidRPr="000304A2" w:rsidRDefault="00DA02CB" w:rsidP="009A485A">
      <w:pPr>
        <w:pStyle w:val="ListParagraph"/>
        <w:numPr>
          <w:ilvl w:val="0"/>
          <w:numId w:val="1"/>
        </w:numPr>
        <w:rPr>
          <w:rFonts w:ascii="Minion Pro" w:hAnsi="Minion Pro" w:cs="Times New Roman"/>
          <w:sz w:val="24"/>
        </w:rPr>
      </w:pPr>
      <w:r>
        <w:rPr>
          <w:rFonts w:ascii="Minion Pro" w:hAnsi="Minion Pro" w:cs="Times New Roman"/>
          <w:sz w:val="24"/>
        </w:rPr>
        <w:t>Speaker Dr</w:t>
      </w:r>
      <w:r w:rsidR="009162B9">
        <w:rPr>
          <w:rFonts w:ascii="Minion Pro" w:hAnsi="Minion Pro" w:cs="Times New Roman"/>
          <w:sz w:val="24"/>
        </w:rPr>
        <w:t>oubie read an excerpt from p. 50</w:t>
      </w:r>
      <w:r>
        <w:rPr>
          <w:rFonts w:ascii="Minion Pro" w:hAnsi="Minion Pro" w:cs="Times New Roman"/>
          <w:sz w:val="24"/>
        </w:rPr>
        <w:t xml:space="preserve"> of </w:t>
      </w:r>
      <w:r w:rsidR="009A485A" w:rsidRPr="000304A2">
        <w:rPr>
          <w:rFonts w:ascii="Minion Pro" w:hAnsi="Minion Pro" w:cs="Times New Roman"/>
          <w:sz w:val="24"/>
        </w:rPr>
        <w:t>the “Green Book</w:t>
      </w:r>
      <w:r>
        <w:rPr>
          <w:rFonts w:ascii="Minion Pro" w:hAnsi="Minion Pro" w:cs="Times New Roman"/>
          <w:sz w:val="24"/>
        </w:rPr>
        <w:t>.</w:t>
      </w:r>
      <w:r w:rsidR="009A485A" w:rsidRPr="000304A2">
        <w:rPr>
          <w:rFonts w:ascii="Minion Pro" w:hAnsi="Minion Pro" w:cs="Times New Roman"/>
          <w:sz w:val="24"/>
        </w:rPr>
        <w:t>”</w:t>
      </w:r>
    </w:p>
    <w:p w:rsidR="009A485A" w:rsidRDefault="009A485A" w:rsidP="009A485A">
      <w:pPr>
        <w:pStyle w:val="ListParagraph"/>
        <w:numPr>
          <w:ilvl w:val="0"/>
          <w:numId w:val="1"/>
        </w:numPr>
        <w:rPr>
          <w:rFonts w:ascii="Minion Pro" w:hAnsi="Minion Pro" w:cs="Times New Roman"/>
          <w:sz w:val="24"/>
        </w:rPr>
      </w:pPr>
      <w:r w:rsidRPr="000304A2">
        <w:rPr>
          <w:rFonts w:ascii="Minion Pro" w:hAnsi="Minion Pro" w:cs="Times New Roman"/>
          <w:sz w:val="24"/>
        </w:rPr>
        <w:t>Speaker’s Report</w:t>
      </w:r>
      <w:r w:rsidR="00DA02CB">
        <w:rPr>
          <w:rFonts w:ascii="Minion Pro" w:hAnsi="Minion Pro" w:cs="Times New Roman"/>
          <w:sz w:val="24"/>
        </w:rPr>
        <w:t>: Speaker Paul Droubie</w:t>
      </w:r>
    </w:p>
    <w:p w:rsidR="002F029D" w:rsidRDefault="002F029D" w:rsidP="002F029D">
      <w:pPr>
        <w:pStyle w:val="ListParagraph"/>
        <w:numPr>
          <w:ilvl w:val="1"/>
          <w:numId w:val="1"/>
        </w:numPr>
        <w:rPr>
          <w:rFonts w:ascii="Minion Pro" w:hAnsi="Minion Pro" w:cs="Times New Roman"/>
          <w:sz w:val="24"/>
        </w:rPr>
      </w:pPr>
      <w:r>
        <w:rPr>
          <w:rFonts w:ascii="Minion Pro" w:hAnsi="Minion Pro" w:cs="Times New Roman"/>
          <w:sz w:val="24"/>
        </w:rPr>
        <w:t>The Senate welcomes ideas for topics to be discussed at the next Senate meeting.</w:t>
      </w:r>
    </w:p>
    <w:p w:rsidR="00773A1E" w:rsidRDefault="002F029D" w:rsidP="00773A1E">
      <w:pPr>
        <w:pStyle w:val="ListParagraph"/>
        <w:numPr>
          <w:ilvl w:val="1"/>
          <w:numId w:val="1"/>
        </w:numPr>
        <w:rPr>
          <w:rFonts w:ascii="Minion Pro" w:hAnsi="Minion Pro" w:cs="Times New Roman"/>
          <w:sz w:val="24"/>
        </w:rPr>
      </w:pPr>
      <w:r>
        <w:rPr>
          <w:rFonts w:ascii="Minion Pro" w:hAnsi="Minion Pro" w:cs="Times New Roman"/>
          <w:sz w:val="24"/>
        </w:rPr>
        <w:t>The updates of the Board of Trustees Committees (Facilities, Academic Affairs, Enrollment, Finance, Strategic Planning) were summarized.  The full reports may be found online in the Senate folder.</w:t>
      </w:r>
    </w:p>
    <w:p w:rsidR="00773A1E" w:rsidRDefault="002F029D" w:rsidP="00773A1E">
      <w:pPr>
        <w:pStyle w:val="ListParagraph"/>
        <w:numPr>
          <w:ilvl w:val="0"/>
          <w:numId w:val="1"/>
        </w:numPr>
        <w:rPr>
          <w:rFonts w:ascii="Minion Pro" w:hAnsi="Minion Pro" w:cs="Times New Roman"/>
          <w:sz w:val="24"/>
        </w:rPr>
      </w:pPr>
      <w:r>
        <w:rPr>
          <w:rFonts w:ascii="Minion Pro" w:hAnsi="Minion Pro" w:cs="Times New Roman"/>
          <w:sz w:val="24"/>
        </w:rPr>
        <w:t>Presentation on College Finances from VP Finance Michael Masch.</w:t>
      </w:r>
    </w:p>
    <w:p w:rsidR="002F029D" w:rsidRDefault="00ED434A" w:rsidP="002F029D">
      <w:pPr>
        <w:pStyle w:val="ListParagraph"/>
        <w:numPr>
          <w:ilvl w:val="1"/>
          <w:numId w:val="1"/>
        </w:numPr>
        <w:rPr>
          <w:rFonts w:ascii="Minion Pro" w:hAnsi="Minion Pro" w:cs="Times New Roman"/>
          <w:sz w:val="24"/>
        </w:rPr>
      </w:pPr>
      <w:r>
        <w:rPr>
          <w:rFonts w:ascii="Minion Pro" w:hAnsi="Minion Pro" w:cs="Times New Roman"/>
          <w:sz w:val="24"/>
        </w:rPr>
        <w:t>A scanned copy of the Statement of Activities presented by Michael Masch may be found online in the Senate folder.</w:t>
      </w:r>
    </w:p>
    <w:p w:rsidR="00ED434A" w:rsidRDefault="00ED434A" w:rsidP="002F029D">
      <w:pPr>
        <w:pStyle w:val="ListParagraph"/>
        <w:numPr>
          <w:ilvl w:val="1"/>
          <w:numId w:val="1"/>
        </w:numPr>
        <w:rPr>
          <w:rFonts w:ascii="Minion Pro" w:hAnsi="Minion Pro" w:cs="Times New Roman"/>
          <w:sz w:val="24"/>
        </w:rPr>
      </w:pPr>
      <w:r>
        <w:rPr>
          <w:rFonts w:ascii="Minion Pro" w:hAnsi="Minion Pro" w:cs="Times New Roman"/>
          <w:sz w:val="24"/>
        </w:rPr>
        <w:lastRenderedPageBreak/>
        <w:t>The fiscal year begins on July 1.</w:t>
      </w:r>
    </w:p>
    <w:p w:rsidR="00ED434A" w:rsidRDefault="00ED434A" w:rsidP="002F029D">
      <w:pPr>
        <w:pStyle w:val="ListParagraph"/>
        <w:numPr>
          <w:ilvl w:val="1"/>
          <w:numId w:val="1"/>
        </w:numPr>
        <w:rPr>
          <w:rFonts w:ascii="Minion Pro" w:hAnsi="Minion Pro" w:cs="Times New Roman"/>
          <w:sz w:val="24"/>
        </w:rPr>
      </w:pPr>
      <w:r>
        <w:rPr>
          <w:rFonts w:ascii="Minion Pro" w:hAnsi="Minion Pro" w:cs="Times New Roman"/>
          <w:sz w:val="24"/>
        </w:rPr>
        <w:t>The Statement of Activities shows a plan for how we think money will come in.</w:t>
      </w:r>
    </w:p>
    <w:p w:rsidR="00ED434A" w:rsidRDefault="00ED434A" w:rsidP="002F029D">
      <w:pPr>
        <w:pStyle w:val="ListParagraph"/>
        <w:numPr>
          <w:ilvl w:val="1"/>
          <w:numId w:val="1"/>
        </w:numPr>
        <w:rPr>
          <w:rFonts w:ascii="Minion Pro" w:hAnsi="Minion Pro" w:cs="Times New Roman"/>
          <w:sz w:val="24"/>
        </w:rPr>
      </w:pPr>
      <w:r>
        <w:rPr>
          <w:rFonts w:ascii="Minion Pro" w:hAnsi="Minion Pro" w:cs="Times New Roman"/>
          <w:sz w:val="24"/>
        </w:rPr>
        <w:t>The Controller’s Office pays the bills of the College and controls accounts receivable.  It works on Generally Accepted Accounting Principles.</w:t>
      </w:r>
    </w:p>
    <w:p w:rsidR="00ED434A" w:rsidRDefault="00ED434A" w:rsidP="002F029D">
      <w:pPr>
        <w:pStyle w:val="ListParagraph"/>
        <w:numPr>
          <w:ilvl w:val="1"/>
          <w:numId w:val="1"/>
        </w:numPr>
        <w:rPr>
          <w:rFonts w:ascii="Minion Pro" w:hAnsi="Minion Pro" w:cs="Times New Roman"/>
          <w:sz w:val="24"/>
        </w:rPr>
      </w:pPr>
      <w:r>
        <w:rPr>
          <w:rFonts w:ascii="Minion Pro" w:hAnsi="Minion Pro" w:cs="Times New Roman"/>
          <w:sz w:val="24"/>
        </w:rPr>
        <w:t>Note that the headings on the Statement of Activities sheet are incorrect.</w:t>
      </w:r>
      <w:r w:rsidR="004F7C37">
        <w:rPr>
          <w:rFonts w:ascii="Minion Pro" w:hAnsi="Minion Pro" w:cs="Times New Roman"/>
          <w:sz w:val="24"/>
        </w:rPr>
        <w:t xml:space="preserve">  (The scanned copy in the Senate folder has corrections written in by hand).</w:t>
      </w:r>
    </w:p>
    <w:p w:rsidR="004F7C37" w:rsidRDefault="004F7C37" w:rsidP="002F029D">
      <w:pPr>
        <w:pStyle w:val="ListParagraph"/>
        <w:numPr>
          <w:ilvl w:val="1"/>
          <w:numId w:val="1"/>
        </w:numPr>
        <w:rPr>
          <w:rFonts w:ascii="Minion Pro" w:hAnsi="Minion Pro" w:cs="Times New Roman"/>
          <w:sz w:val="24"/>
        </w:rPr>
      </w:pPr>
      <w:r>
        <w:rPr>
          <w:rFonts w:ascii="Minion Pro" w:hAnsi="Minion Pro" w:cs="Times New Roman"/>
          <w:sz w:val="24"/>
        </w:rPr>
        <w:t>Not all money dedicated to a given expense is necessarily spent during the same year.</w:t>
      </w:r>
    </w:p>
    <w:p w:rsidR="004F7C37" w:rsidRDefault="004F7C37" w:rsidP="002F029D">
      <w:pPr>
        <w:pStyle w:val="ListParagraph"/>
        <w:numPr>
          <w:ilvl w:val="1"/>
          <w:numId w:val="1"/>
        </w:numPr>
        <w:rPr>
          <w:rFonts w:ascii="Minion Pro" w:hAnsi="Minion Pro" w:cs="Times New Roman"/>
          <w:sz w:val="24"/>
        </w:rPr>
      </w:pPr>
      <w:r>
        <w:rPr>
          <w:rFonts w:ascii="Minion Pro" w:hAnsi="Minion Pro" w:cs="Times New Roman"/>
          <w:sz w:val="24"/>
        </w:rPr>
        <w:t>Contributions to the College Reserves are made for the renewal of College facilities.  There is currently a backlog of $200 million in repairs that need to be made to maintain existing buildings.  With greater contributions to the College Reserves, surprises are less likely to throw off the budget.</w:t>
      </w:r>
    </w:p>
    <w:p w:rsidR="004F7C37" w:rsidRDefault="004F7C37" w:rsidP="002F029D">
      <w:pPr>
        <w:pStyle w:val="ListParagraph"/>
        <w:numPr>
          <w:ilvl w:val="1"/>
          <w:numId w:val="1"/>
        </w:numPr>
        <w:rPr>
          <w:rFonts w:ascii="Minion Pro" w:hAnsi="Minion Pro" w:cs="Times New Roman"/>
          <w:sz w:val="24"/>
        </w:rPr>
      </w:pPr>
      <w:r>
        <w:rPr>
          <w:rFonts w:ascii="Minion Pro" w:hAnsi="Minion Pro" w:cs="Times New Roman"/>
          <w:sz w:val="24"/>
        </w:rPr>
        <w:t>Athletics are within the Student Services category.</w:t>
      </w:r>
    </w:p>
    <w:p w:rsidR="004F7C37" w:rsidRDefault="004F7C37" w:rsidP="002F029D">
      <w:pPr>
        <w:pStyle w:val="ListParagraph"/>
        <w:numPr>
          <w:ilvl w:val="1"/>
          <w:numId w:val="1"/>
        </w:numPr>
        <w:rPr>
          <w:rFonts w:ascii="Minion Pro" w:hAnsi="Minion Pro" w:cs="Times New Roman"/>
          <w:sz w:val="24"/>
        </w:rPr>
      </w:pPr>
      <w:r>
        <w:rPr>
          <w:rFonts w:ascii="Minion Pro" w:hAnsi="Minion Pro" w:cs="Times New Roman"/>
          <w:sz w:val="24"/>
        </w:rPr>
        <w:t>The total College Reserves stands at about $60 million.  Some of this needs to be kept as cash on hand.</w:t>
      </w:r>
    </w:p>
    <w:p w:rsidR="004F7C37" w:rsidRDefault="004F7C37" w:rsidP="002F029D">
      <w:pPr>
        <w:pStyle w:val="ListParagraph"/>
        <w:numPr>
          <w:ilvl w:val="1"/>
          <w:numId w:val="1"/>
        </w:numPr>
        <w:rPr>
          <w:rFonts w:ascii="Minion Pro" w:hAnsi="Minion Pro" w:cs="Times New Roman"/>
          <w:sz w:val="24"/>
        </w:rPr>
      </w:pPr>
      <w:r>
        <w:rPr>
          <w:rFonts w:ascii="Minion Pro" w:hAnsi="Minion Pro" w:cs="Times New Roman"/>
          <w:sz w:val="24"/>
        </w:rPr>
        <w:t>There was a large increase in contribution to College Reserves this past year.  This was planned.  We knew we would have more expenses, such as the Commons, an electricity rate increase, and there was a commitment from the Administration to set aside more money for renewal and replacement (in accordance with the Master Plan).  The 2013-2014 contribution to reserves was not enough.</w:t>
      </w:r>
    </w:p>
    <w:p w:rsidR="004F7C37" w:rsidRDefault="004F7C37" w:rsidP="002F029D">
      <w:pPr>
        <w:pStyle w:val="ListParagraph"/>
        <w:numPr>
          <w:ilvl w:val="1"/>
          <w:numId w:val="1"/>
        </w:numPr>
        <w:rPr>
          <w:rFonts w:ascii="Minion Pro" w:hAnsi="Minion Pro" w:cs="Times New Roman"/>
          <w:sz w:val="24"/>
        </w:rPr>
      </w:pPr>
      <w:r>
        <w:rPr>
          <w:rFonts w:ascii="Minion Pro" w:hAnsi="Minion Pro" w:cs="Times New Roman"/>
          <w:sz w:val="24"/>
        </w:rPr>
        <w:t>This past year there was the lowest increase in charges to students in 8 years.</w:t>
      </w:r>
    </w:p>
    <w:p w:rsidR="00956DB6" w:rsidRDefault="00956DB6" w:rsidP="002F029D">
      <w:pPr>
        <w:pStyle w:val="ListParagraph"/>
        <w:numPr>
          <w:ilvl w:val="1"/>
          <w:numId w:val="1"/>
        </w:numPr>
        <w:rPr>
          <w:rFonts w:ascii="Minion Pro" w:hAnsi="Minion Pro" w:cs="Times New Roman"/>
          <w:sz w:val="24"/>
        </w:rPr>
      </w:pPr>
      <w:r>
        <w:rPr>
          <w:rFonts w:ascii="Minion Pro" w:hAnsi="Minion Pro" w:cs="Times New Roman"/>
          <w:sz w:val="24"/>
        </w:rPr>
        <w:t>The Balance Sheet gives a snapshot of a moment in time.  The wealth of the College is about $313 million, about half of which is the estimated value of buildings.</w:t>
      </w:r>
    </w:p>
    <w:p w:rsidR="00956DB6" w:rsidRDefault="00956DB6" w:rsidP="002F029D">
      <w:pPr>
        <w:pStyle w:val="ListParagraph"/>
        <w:numPr>
          <w:ilvl w:val="1"/>
          <w:numId w:val="1"/>
        </w:numPr>
        <w:rPr>
          <w:rFonts w:ascii="Minion Pro" w:hAnsi="Minion Pro" w:cs="Times New Roman"/>
          <w:sz w:val="24"/>
        </w:rPr>
      </w:pPr>
      <w:r>
        <w:rPr>
          <w:rFonts w:ascii="Minion Pro" w:hAnsi="Minion Pro" w:cs="Times New Roman"/>
          <w:sz w:val="24"/>
        </w:rPr>
        <w:t>The College has about $97 million in long-term debt.  There was a jump in long-term debt due to the Commons.</w:t>
      </w:r>
      <w:r w:rsidR="0013101A">
        <w:rPr>
          <w:rFonts w:ascii="Minion Pro" w:hAnsi="Minion Pro" w:cs="Times New Roman"/>
          <w:sz w:val="24"/>
        </w:rPr>
        <w:t xml:space="preserve">  Donors have made commitments for future donations---once those donations come in, the total debt will be back to around $73 million.</w:t>
      </w:r>
    </w:p>
    <w:p w:rsidR="0013101A" w:rsidRDefault="0013101A" w:rsidP="002F029D">
      <w:pPr>
        <w:pStyle w:val="ListParagraph"/>
        <w:numPr>
          <w:ilvl w:val="1"/>
          <w:numId w:val="1"/>
        </w:numPr>
        <w:rPr>
          <w:rFonts w:ascii="Minion Pro" w:hAnsi="Minion Pro" w:cs="Times New Roman"/>
          <w:sz w:val="24"/>
        </w:rPr>
      </w:pPr>
      <w:r>
        <w:rPr>
          <w:rFonts w:ascii="Minion Pro" w:hAnsi="Minion Pro" w:cs="Times New Roman"/>
          <w:sz w:val="24"/>
        </w:rPr>
        <w:t>The College had a good year in terms of total wealth, with an increase of about 20% (mostly due to the Commons).  Investment returns were up due to a good year in the stock market.  The Trustees do not let us spend all of the investment returns to save for possible future market losses.</w:t>
      </w:r>
    </w:p>
    <w:p w:rsidR="0013101A" w:rsidRDefault="0013101A" w:rsidP="002F029D">
      <w:pPr>
        <w:pStyle w:val="ListParagraph"/>
        <w:numPr>
          <w:ilvl w:val="1"/>
          <w:numId w:val="1"/>
        </w:numPr>
        <w:rPr>
          <w:rFonts w:ascii="Minion Pro" w:hAnsi="Minion Pro" w:cs="Times New Roman"/>
          <w:sz w:val="24"/>
        </w:rPr>
      </w:pPr>
      <w:r>
        <w:rPr>
          <w:rFonts w:ascii="Minion Pro" w:hAnsi="Minion Pro" w:cs="Times New Roman"/>
          <w:sz w:val="24"/>
        </w:rPr>
        <w:t xml:space="preserve">For the Commons: the College has about $42 million in pledges, and the cost was about $49 million.  The difference (not covered by pledges) is about $7 million.  </w:t>
      </w:r>
      <w:r>
        <w:rPr>
          <w:rFonts w:ascii="Minion Pro" w:hAnsi="Minion Pro" w:cs="Times New Roman"/>
          <w:sz w:val="24"/>
        </w:rPr>
        <w:lastRenderedPageBreak/>
        <w:t>The College has currently taken in about $29 million in pledged donations (less than 1% of pledges are not coming in on time).</w:t>
      </w:r>
    </w:p>
    <w:p w:rsidR="0013101A" w:rsidRDefault="0013101A" w:rsidP="002F029D">
      <w:pPr>
        <w:pStyle w:val="ListParagraph"/>
        <w:numPr>
          <w:ilvl w:val="1"/>
          <w:numId w:val="1"/>
        </w:numPr>
        <w:rPr>
          <w:rFonts w:ascii="Minion Pro" w:hAnsi="Minion Pro" w:cs="Times New Roman"/>
          <w:sz w:val="24"/>
        </w:rPr>
      </w:pPr>
      <w:r>
        <w:rPr>
          <w:rFonts w:ascii="Minion Pro" w:hAnsi="Minion Pro" w:cs="Times New Roman"/>
          <w:sz w:val="24"/>
        </w:rPr>
        <w:t>In the budget it was assumed that this year there would be 760 new entering, 140 new transfers, and 2360 continuing students.  The actual numbers are 747 new entering, 168 new transfers, and 2342 continuing students.</w:t>
      </w:r>
    </w:p>
    <w:p w:rsidR="0013101A" w:rsidRDefault="0013101A" w:rsidP="002F029D">
      <w:pPr>
        <w:pStyle w:val="ListParagraph"/>
        <w:numPr>
          <w:ilvl w:val="1"/>
          <w:numId w:val="1"/>
        </w:numPr>
        <w:rPr>
          <w:rFonts w:ascii="Minion Pro" w:hAnsi="Minion Pro" w:cs="Times New Roman"/>
          <w:sz w:val="24"/>
        </w:rPr>
      </w:pPr>
      <w:r>
        <w:rPr>
          <w:rFonts w:ascii="Minion Pro" w:hAnsi="Minion Pro" w:cs="Times New Roman"/>
          <w:sz w:val="24"/>
        </w:rPr>
        <w:t>The total enrollment is slightly higher this year than last year. The enrollment numbers are just about on target for undergraduates.</w:t>
      </w:r>
      <w:r w:rsidR="00535AEC">
        <w:rPr>
          <w:rFonts w:ascii="Minion Pro" w:hAnsi="Minion Pro" w:cs="Times New Roman"/>
          <w:sz w:val="24"/>
        </w:rPr>
        <w:t xml:space="preserve">  For graduate students, last year there were 446, and this year there are 466.</w:t>
      </w:r>
    </w:p>
    <w:p w:rsidR="00535AEC" w:rsidRDefault="00535AEC" w:rsidP="002F029D">
      <w:pPr>
        <w:pStyle w:val="ListParagraph"/>
        <w:numPr>
          <w:ilvl w:val="1"/>
          <w:numId w:val="1"/>
        </w:numPr>
        <w:rPr>
          <w:rFonts w:ascii="Minion Pro" w:hAnsi="Minion Pro" w:cs="Times New Roman"/>
          <w:sz w:val="24"/>
        </w:rPr>
      </w:pPr>
      <w:r>
        <w:rPr>
          <w:rFonts w:ascii="Minion Pro" w:hAnsi="Minion Pro" w:cs="Times New Roman"/>
          <w:sz w:val="24"/>
        </w:rPr>
        <w:t>Athletics Budget: the NCAA requires an audit, which is not done yet.  VP Masch will come to give a report on the audit, which should be done by the end of the calendar year.  About 10% of students are involved in Athletics.</w:t>
      </w:r>
    </w:p>
    <w:p w:rsidR="00535AEC" w:rsidRPr="00773A1E" w:rsidRDefault="00535AEC" w:rsidP="002F029D">
      <w:pPr>
        <w:pStyle w:val="ListParagraph"/>
        <w:numPr>
          <w:ilvl w:val="1"/>
          <w:numId w:val="1"/>
        </w:numPr>
        <w:rPr>
          <w:rFonts w:ascii="Minion Pro" w:hAnsi="Minion Pro" w:cs="Times New Roman"/>
          <w:sz w:val="24"/>
        </w:rPr>
      </w:pPr>
      <w:r>
        <w:rPr>
          <w:rFonts w:ascii="Minion Pro" w:hAnsi="Minion Pro" w:cs="Times New Roman"/>
          <w:sz w:val="24"/>
        </w:rPr>
        <w:t>There has to be a balance between bricks/mortar, programs, and the endowment.</w:t>
      </w:r>
    </w:p>
    <w:p w:rsidR="009A485A" w:rsidRDefault="009A485A" w:rsidP="00773A1E">
      <w:pPr>
        <w:pStyle w:val="ListParagraph"/>
        <w:numPr>
          <w:ilvl w:val="0"/>
          <w:numId w:val="1"/>
        </w:numPr>
        <w:rPr>
          <w:rFonts w:ascii="Minion Pro" w:hAnsi="Minion Pro" w:cs="Times New Roman"/>
          <w:sz w:val="24"/>
        </w:rPr>
      </w:pPr>
      <w:r w:rsidRPr="00773A1E">
        <w:rPr>
          <w:rFonts w:ascii="Minion Pro" w:hAnsi="Minion Pro" w:cs="Times New Roman"/>
          <w:sz w:val="24"/>
        </w:rPr>
        <w:t>Reports from the Standing Committees</w:t>
      </w:r>
    </w:p>
    <w:p w:rsidR="002F029D" w:rsidRDefault="002F029D" w:rsidP="002F029D">
      <w:pPr>
        <w:pStyle w:val="ListParagraph"/>
        <w:numPr>
          <w:ilvl w:val="1"/>
          <w:numId w:val="1"/>
        </w:numPr>
        <w:rPr>
          <w:rFonts w:ascii="Minion Pro" w:hAnsi="Minion Pro" w:cs="Times New Roman"/>
          <w:sz w:val="24"/>
        </w:rPr>
      </w:pPr>
      <w:r>
        <w:rPr>
          <w:rFonts w:ascii="Minion Pro" w:hAnsi="Minion Pro" w:cs="Times New Roman"/>
          <w:sz w:val="24"/>
        </w:rPr>
        <w:t>Educational Affairs Commission (EAC)</w:t>
      </w:r>
      <w:r w:rsidR="00956DB6">
        <w:rPr>
          <w:rFonts w:ascii="Minion Pro" w:hAnsi="Minion Pro" w:cs="Times New Roman"/>
          <w:sz w:val="24"/>
        </w:rPr>
        <w:t>: Senator Kevin Hill</w:t>
      </w:r>
    </w:p>
    <w:p w:rsidR="00535AEC" w:rsidRDefault="00535AEC" w:rsidP="00535AEC">
      <w:pPr>
        <w:pStyle w:val="ListParagraph"/>
        <w:numPr>
          <w:ilvl w:val="2"/>
          <w:numId w:val="1"/>
        </w:numPr>
        <w:rPr>
          <w:rFonts w:ascii="Minion Pro" w:hAnsi="Minion Pro" w:cs="Times New Roman"/>
          <w:sz w:val="24"/>
        </w:rPr>
      </w:pPr>
      <w:r>
        <w:rPr>
          <w:rFonts w:ascii="Minion Pro" w:hAnsi="Minion Pro" w:cs="Times New Roman"/>
          <w:sz w:val="24"/>
        </w:rPr>
        <w:t>Please find the Minutes of the EAC meeting online in the Senate folder.</w:t>
      </w:r>
    </w:p>
    <w:p w:rsidR="002F029D" w:rsidRDefault="002F029D" w:rsidP="002F029D">
      <w:pPr>
        <w:pStyle w:val="ListParagraph"/>
        <w:numPr>
          <w:ilvl w:val="1"/>
          <w:numId w:val="1"/>
        </w:numPr>
        <w:rPr>
          <w:rFonts w:ascii="Minion Pro" w:hAnsi="Minion Pro" w:cs="Times New Roman"/>
          <w:sz w:val="24"/>
        </w:rPr>
      </w:pPr>
      <w:r>
        <w:rPr>
          <w:rFonts w:ascii="Minion Pro" w:hAnsi="Minion Pro" w:cs="Times New Roman"/>
          <w:sz w:val="24"/>
        </w:rPr>
        <w:t>Campus Life Committee</w:t>
      </w:r>
      <w:r w:rsidR="00956DB6">
        <w:rPr>
          <w:rFonts w:ascii="Minion Pro" w:hAnsi="Minion Pro" w:cs="Times New Roman"/>
          <w:sz w:val="24"/>
        </w:rPr>
        <w:t>: Senator Sonny Ago</w:t>
      </w:r>
    </w:p>
    <w:p w:rsidR="00535AEC" w:rsidRPr="00773A1E" w:rsidRDefault="00535AEC" w:rsidP="00535AEC">
      <w:pPr>
        <w:pStyle w:val="ListParagraph"/>
        <w:numPr>
          <w:ilvl w:val="2"/>
          <w:numId w:val="1"/>
        </w:numPr>
        <w:rPr>
          <w:rFonts w:ascii="Minion Pro" w:hAnsi="Minion Pro" w:cs="Times New Roman"/>
          <w:sz w:val="24"/>
        </w:rPr>
      </w:pPr>
      <w:r>
        <w:rPr>
          <w:rFonts w:ascii="Minion Pro" w:hAnsi="Minion Pro" w:cs="Times New Roman"/>
          <w:sz w:val="24"/>
        </w:rPr>
        <w:t>The committee has hoped to meet, but has not met.  There should be a report for the first Senate meeting of the Spring semester.</w:t>
      </w:r>
    </w:p>
    <w:p w:rsidR="009A485A" w:rsidRDefault="009A485A" w:rsidP="009A485A">
      <w:pPr>
        <w:pStyle w:val="ListParagraph"/>
        <w:numPr>
          <w:ilvl w:val="0"/>
          <w:numId w:val="1"/>
        </w:numPr>
        <w:rPr>
          <w:rFonts w:ascii="Minion Pro" w:hAnsi="Minion Pro" w:cs="Times New Roman"/>
          <w:sz w:val="24"/>
        </w:rPr>
      </w:pPr>
      <w:r w:rsidRPr="000304A2">
        <w:rPr>
          <w:rFonts w:ascii="Minion Pro" w:hAnsi="Minion Pro" w:cs="Times New Roman"/>
          <w:sz w:val="24"/>
        </w:rPr>
        <w:t>Old Business</w:t>
      </w:r>
    </w:p>
    <w:p w:rsidR="00E863AC" w:rsidRDefault="00E863AC" w:rsidP="00E863AC">
      <w:pPr>
        <w:pStyle w:val="ListParagraph"/>
        <w:numPr>
          <w:ilvl w:val="1"/>
          <w:numId w:val="1"/>
        </w:numPr>
        <w:rPr>
          <w:rFonts w:ascii="Minion Pro" w:hAnsi="Minion Pro" w:cs="Times New Roman"/>
          <w:sz w:val="24"/>
        </w:rPr>
      </w:pPr>
      <w:r>
        <w:rPr>
          <w:rFonts w:ascii="Minion Pro" w:hAnsi="Minion Pro" w:cs="Times New Roman"/>
          <w:sz w:val="24"/>
        </w:rPr>
        <w:t>There was no old business.</w:t>
      </w:r>
    </w:p>
    <w:p w:rsidR="009A485A" w:rsidRDefault="009A485A" w:rsidP="009A485A">
      <w:pPr>
        <w:pStyle w:val="ListParagraph"/>
        <w:numPr>
          <w:ilvl w:val="0"/>
          <w:numId w:val="1"/>
        </w:numPr>
        <w:rPr>
          <w:rFonts w:ascii="Minion Pro" w:hAnsi="Minion Pro" w:cs="Times New Roman"/>
          <w:sz w:val="24"/>
        </w:rPr>
      </w:pPr>
      <w:r w:rsidRPr="000304A2">
        <w:rPr>
          <w:rFonts w:ascii="Minion Pro" w:hAnsi="Minion Pro" w:cs="Times New Roman"/>
          <w:sz w:val="24"/>
        </w:rPr>
        <w:t>New Business</w:t>
      </w:r>
    </w:p>
    <w:p w:rsidR="00956DB6" w:rsidRDefault="00956DB6" w:rsidP="00956DB6">
      <w:pPr>
        <w:pStyle w:val="ListParagraph"/>
        <w:numPr>
          <w:ilvl w:val="1"/>
          <w:numId w:val="1"/>
        </w:numPr>
        <w:rPr>
          <w:rFonts w:ascii="Minion Pro" w:hAnsi="Minion Pro" w:cs="Times New Roman"/>
          <w:sz w:val="24"/>
        </w:rPr>
      </w:pPr>
      <w:r>
        <w:rPr>
          <w:rFonts w:ascii="Minion Pro" w:hAnsi="Minion Pro" w:cs="Times New Roman"/>
          <w:sz w:val="24"/>
        </w:rPr>
        <w:t>There was no new business.</w:t>
      </w:r>
    </w:p>
    <w:p w:rsidR="009A485A" w:rsidRDefault="00956DB6" w:rsidP="009A485A">
      <w:pPr>
        <w:pStyle w:val="ListParagraph"/>
        <w:numPr>
          <w:ilvl w:val="0"/>
          <w:numId w:val="1"/>
        </w:numPr>
        <w:rPr>
          <w:rFonts w:ascii="Minion Pro" w:hAnsi="Minion Pro" w:cs="Times New Roman"/>
          <w:sz w:val="24"/>
        </w:rPr>
      </w:pPr>
      <w:r>
        <w:rPr>
          <w:rFonts w:ascii="Minion Pro" w:hAnsi="Minion Pro" w:cs="Times New Roman"/>
          <w:sz w:val="24"/>
        </w:rPr>
        <w:t>Adjourned at 4:51</w:t>
      </w:r>
      <w:r w:rsidR="00A72401">
        <w:rPr>
          <w:rFonts w:ascii="Minion Pro" w:hAnsi="Minion Pro" w:cs="Times New Roman"/>
          <w:sz w:val="24"/>
        </w:rPr>
        <w:t xml:space="preserve"> pm.</w:t>
      </w:r>
    </w:p>
    <w:p w:rsidR="00EA6CA2" w:rsidRPr="00B644F2" w:rsidRDefault="00A72401">
      <w:pPr>
        <w:rPr>
          <w:rFonts w:ascii="Minion Pro" w:hAnsi="Minion Pro" w:cs="Times New Roman"/>
          <w:sz w:val="24"/>
        </w:rPr>
      </w:pPr>
      <w:r>
        <w:rPr>
          <w:rFonts w:ascii="Minion Pro" w:hAnsi="Minion Pro" w:cs="Times New Roman"/>
          <w:sz w:val="24"/>
        </w:rPr>
        <w:t>Respectfully submitted by M. Jura.</w:t>
      </w:r>
    </w:p>
    <w:sectPr w:rsidR="00EA6CA2" w:rsidRPr="00B644F2" w:rsidSect="00386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E19"/>
    <w:multiLevelType w:val="hybridMultilevel"/>
    <w:tmpl w:val="44A24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4EA0833"/>
    <w:multiLevelType w:val="hybridMultilevel"/>
    <w:tmpl w:val="A14C5152"/>
    <w:lvl w:ilvl="0" w:tplc="3A0651A2">
      <w:start w:val="1"/>
      <w:numFmt w:val="upperRoman"/>
      <w:lvlText w:val="%1."/>
      <w:lvlJc w:val="left"/>
      <w:pPr>
        <w:ind w:left="720" w:hanging="360"/>
      </w:pPr>
      <w:rPr>
        <w:rFonts w:ascii="Minion Pro" w:eastAsiaTheme="minorEastAsia" w:hAnsi="Minion Pro"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A2"/>
    <w:rsid w:val="000304A2"/>
    <w:rsid w:val="0007754B"/>
    <w:rsid w:val="000A050C"/>
    <w:rsid w:val="00112190"/>
    <w:rsid w:val="0013101A"/>
    <w:rsid w:val="0025283C"/>
    <w:rsid w:val="002C4C63"/>
    <w:rsid w:val="002F029D"/>
    <w:rsid w:val="00316066"/>
    <w:rsid w:val="00386CC1"/>
    <w:rsid w:val="003B6D43"/>
    <w:rsid w:val="004532B3"/>
    <w:rsid w:val="004F7C37"/>
    <w:rsid w:val="00532E23"/>
    <w:rsid w:val="00535AEC"/>
    <w:rsid w:val="005D679A"/>
    <w:rsid w:val="005F7534"/>
    <w:rsid w:val="00682783"/>
    <w:rsid w:val="006F3C17"/>
    <w:rsid w:val="006F5BA6"/>
    <w:rsid w:val="00773A1E"/>
    <w:rsid w:val="007D3241"/>
    <w:rsid w:val="00833DF4"/>
    <w:rsid w:val="008C32DB"/>
    <w:rsid w:val="009162B9"/>
    <w:rsid w:val="00935E27"/>
    <w:rsid w:val="00956DB6"/>
    <w:rsid w:val="009754F9"/>
    <w:rsid w:val="009A1C5B"/>
    <w:rsid w:val="009A485A"/>
    <w:rsid w:val="009D4E71"/>
    <w:rsid w:val="009E3A25"/>
    <w:rsid w:val="009E4BA8"/>
    <w:rsid w:val="009F55A1"/>
    <w:rsid w:val="00A07088"/>
    <w:rsid w:val="00A31935"/>
    <w:rsid w:val="00A72401"/>
    <w:rsid w:val="00A772F6"/>
    <w:rsid w:val="00B20539"/>
    <w:rsid w:val="00B3543A"/>
    <w:rsid w:val="00B5202F"/>
    <w:rsid w:val="00B644F2"/>
    <w:rsid w:val="00B841A1"/>
    <w:rsid w:val="00C52ECD"/>
    <w:rsid w:val="00CA779B"/>
    <w:rsid w:val="00D853FC"/>
    <w:rsid w:val="00DA02CB"/>
    <w:rsid w:val="00E310DC"/>
    <w:rsid w:val="00E863AC"/>
    <w:rsid w:val="00EA6CA2"/>
    <w:rsid w:val="00EC2C6B"/>
    <w:rsid w:val="00ED434A"/>
    <w:rsid w:val="00F17A35"/>
    <w:rsid w:val="00F36965"/>
    <w:rsid w:val="00F61842"/>
    <w:rsid w:val="00F652B3"/>
    <w:rsid w:val="00F862FD"/>
    <w:rsid w:val="00F90E47"/>
    <w:rsid w:val="00FA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CA2"/>
    <w:pPr>
      <w:spacing w:after="0" w:line="240" w:lineRule="auto"/>
    </w:pPr>
  </w:style>
  <w:style w:type="paragraph" w:styleId="BalloonText">
    <w:name w:val="Balloon Text"/>
    <w:basedOn w:val="Normal"/>
    <w:link w:val="BalloonTextChar"/>
    <w:uiPriority w:val="99"/>
    <w:semiHidden/>
    <w:unhideWhenUsed/>
    <w:rsid w:val="00EA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A2"/>
    <w:rPr>
      <w:rFonts w:ascii="Tahoma" w:hAnsi="Tahoma" w:cs="Tahoma"/>
      <w:sz w:val="16"/>
      <w:szCs w:val="16"/>
    </w:rPr>
  </w:style>
  <w:style w:type="paragraph" w:styleId="ListParagraph">
    <w:name w:val="List Paragraph"/>
    <w:basedOn w:val="Normal"/>
    <w:uiPriority w:val="34"/>
    <w:qFormat/>
    <w:rsid w:val="00EA6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CA2"/>
    <w:pPr>
      <w:spacing w:after="0" w:line="240" w:lineRule="auto"/>
    </w:pPr>
  </w:style>
  <w:style w:type="paragraph" w:styleId="BalloonText">
    <w:name w:val="Balloon Text"/>
    <w:basedOn w:val="Normal"/>
    <w:link w:val="BalloonTextChar"/>
    <w:uiPriority w:val="99"/>
    <w:semiHidden/>
    <w:unhideWhenUsed/>
    <w:rsid w:val="00EA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A2"/>
    <w:rPr>
      <w:rFonts w:ascii="Tahoma" w:hAnsi="Tahoma" w:cs="Tahoma"/>
      <w:sz w:val="16"/>
      <w:szCs w:val="16"/>
    </w:rPr>
  </w:style>
  <w:style w:type="paragraph" w:styleId="ListParagraph">
    <w:name w:val="List Paragraph"/>
    <w:basedOn w:val="Normal"/>
    <w:uiPriority w:val="34"/>
    <w:qFormat/>
    <w:rsid w:val="00EA6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template</cp:lastModifiedBy>
  <cp:revision>6</cp:revision>
  <dcterms:created xsi:type="dcterms:W3CDTF">2014-12-03T18:54:00Z</dcterms:created>
  <dcterms:modified xsi:type="dcterms:W3CDTF">2015-03-05T14:09:00Z</dcterms:modified>
</cp:coreProperties>
</file>