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11/29/23</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Educational Affairs Committee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From: Ricardo Dello Buono, Executive Director – Global Engagement</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  Registrar’s protocol for receiving ECTS academic credit from European programs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CC: </w:t>
        <w:tab/>
        <w:t xml:space="preserve">Rani Roy, Provost</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Kelly Marin, Associate Provost</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Carlos Tonche, Registrar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is a large and growing volume of transatlantic student mobility, particularly in view of the European practice to require a semester of study abroad for university students. Manhattan College has various exchange relationships with European academic institutions, particularly in France and Spain, and it is projected that this two-way flow will continue to grow over the coming years.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 present proposal seeks to streamline the transfer of incoming academic credit and ensure uniform and best practices by Registrar and the Office of Global Engagement and Study Abroad.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European institutions do not utilize the US system of credit hours.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Rather, they established a uniform system of academic credit that was designed to standardize transfer credits across all of the European countries. (see Appendix 1) This has greatly facilitated inter-European study through programs such as the Erasmus exchange accord. The European Credit Transfer System (ECTS) does not simply translate into US credit hours because it is “student-centered,” i.e., it is rated by how many hours students are expected to spend on their academic work, rather the US, “instructor-centered” measure of how many in-class contact hours are required per a given amount of credits. In rough terms, ECTS credits average out to about a 2:1 equivalence to US academic credits. However, just like it is common for US institutions to have 3 or 4 credit hour classes, it is frequently the case that our European partners have 5 or 6 ECTS classes. So while a US student may take 12-15 credits in a typical semester, student enrolled in Europe may typically take 20-30 ECTS. Some of our exchange partners offer mostly 5 ECTS classes, making it extremely difficult if not impossible for our students to transfer back a full semester of credits.</w:t>
      </w:r>
    </w:p>
    <w:p w:rsidR="00000000" w:rsidDel="00000000" w:rsidP="00000000" w:rsidRDefault="00000000" w:rsidRPr="00000000" w14:paraId="0000000B">
      <w:pPr>
        <w:spacing w:after="0" w:line="240" w:lineRule="auto"/>
        <w:rPr>
          <w:rFonts w:ascii="Arial" w:cs="Arial" w:eastAsia="Arial" w:hAnsi="Arial"/>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New York State Office of Higher Education (NYS OHE) states that: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8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“Institutions are responsible for setting institutional policies in relation to acceptance of transfer credit and for ensuring said policies are published and observed. Therefore, institutions can accept transfer credit in accordance with their published policies; any/all exceptions to current policies should be documented. That said, students must complete program curricula as registered through the Department. Although institutions can make determinations, set policies, and document procedures regarding transfer credit to their registered programs, they must ensure that students complete the registered programs as designed and approved.”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Since the practice of converting credits by the Registrar must operate in a uniform manner, we propose to establish and publish a standardized system for incoming transfer of ECTS. For that reason, and consistent with established practice over a period of years, the Office of Global Engagement and Study Abroad proposes the following: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Given that: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There is broad consensus that the “value” of ECTS units do not exactly and comfortably translate into a 2:1 equivalence;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Many courses offered in Europe that closely resemble our 3cr courses are rated at 5 ECTS;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Clear evidence exists that other institutions employ the practice of transferring in both 5 ECTS and 6 ECTS courses as 3cr courses; and</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Manhattan College has in the past been willing to transfer in either 5 ECTS or 6 ECTS as 3 credit courses; but the Registrar would like a clear administrative ruling on this practice and have it published in our catalog.</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The Office of Global Engagement and Study Abroad proposes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that we formalize the following scale of equivalence for accepting incoming credit transfers of earned ECTS credits: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Under 3 ECTS – no credit earned</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ECTS =       1 cr earned (to accommodate modular or lab academic credits)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ECTS =       2 cr earned (to accommodate modular or lab academic credits)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5 - 6 ECTS =    3 cr earned</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7 - 8 ECTS =    4 cr earned</w:t>
      </w:r>
    </w:p>
    <w:p w:rsidR="00000000" w:rsidDel="00000000" w:rsidP="00000000" w:rsidRDefault="00000000" w:rsidRPr="00000000" w14:paraId="0000001A">
      <w:pPr>
        <w:spacing w:after="0" w:line="240" w:lineRule="auto"/>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Appendix 1: ECTS Credits of the European Higher Education Area</w:t>
      </w:r>
    </w:p>
    <w:p w:rsidR="00000000" w:rsidDel="00000000" w:rsidP="00000000" w:rsidRDefault="00000000" w:rsidRPr="00000000" w14:paraId="00000020">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-335751</wp:posOffset>
                </wp:positionH>
                <wp:positionV relativeFrom="paragraph">
                  <wp:posOffset>300328</wp:posOffset>
                </wp:positionV>
                <wp:extent cx="6219825" cy="3204689"/>
                <wp:effectExtent b="0" l="0" r="0" t="0"/>
                <wp:wrapSquare wrapText="bothSides" distB="45720" distT="45720" distL="114300" distR="114300"/>
                <wp:docPr id="1" name=""/>
                <a:graphic>
                  <a:graphicData uri="http://schemas.microsoft.com/office/word/2010/wordprocessingShape">
                    <wps:wsp>
                      <wps:cNvSpPr/>
                      <wps:cNvPr id="2" name="Shape 2"/>
                      <wps:spPr>
                        <a:xfrm>
                          <a:off x="2240850" y="2182975"/>
                          <a:ext cx="6210300" cy="319405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40" w:before="240" w:line="240"/>
                              <w:ind w:left="0" w:right="0" w:firstLine="0"/>
                              <w:jc w:val="both"/>
                              <w:textDirection w:val="btLr"/>
                            </w:pPr>
                            <w:r w:rsidDel="00000000" w:rsidR="00000000" w:rsidRPr="00000000">
                              <w:rPr>
                                <w:rFonts w:ascii="Arial" w:cs="Arial" w:eastAsia="Arial" w:hAnsi="Arial"/>
                                <w:b w:val="0"/>
                                <w:i w:val="0"/>
                                <w:smallCaps w:val="0"/>
                                <w:strike w:val="0"/>
                                <w:color w:val="000000"/>
                                <w:sz w:val="20"/>
                                <w:vertAlign w:val="baseline"/>
                              </w:rPr>
                              <w:t xml:space="preserve">In 1999 the Bologna Declaration included ECTS among the main objectives to be achieved by countries participating in the Bologna Process. Through the reforms implemented in the course of the Process, ECTS has become a key tool of the European Higher Education Area (EHEA).</w:t>
                            </w:r>
                          </w:p>
                          <w:p w:rsidR="00000000" w:rsidDel="00000000" w:rsidP="00000000" w:rsidRDefault="00000000" w:rsidRPr="00000000">
                            <w:pPr>
                              <w:spacing w:after="240" w:before="240" w:line="240"/>
                              <w:ind w:left="0" w:right="0" w:firstLine="0"/>
                              <w:jc w:val="both"/>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ECTS is adopted as the national credit system in most countries of the EHEA. In other regions of the world, it is increasingly used by institutions or interacts successfully with local credit systems[3] based on comparable criteria, thus playing a role in the growing global dimension of education.</w:t>
                            </w:r>
                          </w:p>
                          <w:p w:rsidR="00000000" w:rsidDel="00000000" w:rsidP="00000000" w:rsidRDefault="00000000" w:rsidRPr="00000000">
                            <w:pPr>
                              <w:spacing w:after="240" w:before="240" w:line="240"/>
                              <w:ind w:left="0" w:right="0" w:firstLine="0"/>
                              <w:jc w:val="both"/>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Within the EHEA, ECTS increases the transparency and readability of the educational process and thus plays an effective role in stimulating change and modernisation, because its implementation encourages the </w:t>
                            </w:r>
                            <w:r w:rsidDel="00000000" w:rsidR="00000000" w:rsidRPr="00000000">
                              <w:rPr>
                                <w:rFonts w:ascii="Arial" w:cs="Arial" w:eastAsia="Arial" w:hAnsi="Arial"/>
                                <w:b w:val="0"/>
                                <w:i w:val="0"/>
                                <w:smallCaps w:val="0"/>
                                <w:strike w:val="0"/>
                                <w:color w:val="000000"/>
                                <w:sz w:val="20"/>
                                <w:highlight w:val="yellow"/>
                                <w:vertAlign w:val="baseline"/>
                              </w:rPr>
                              <w:t xml:space="preserve">paradigm shift from a teacher-centred to a learner-centred approach</w:t>
                            </w:r>
                            <w:r w:rsidDel="00000000" w:rsidR="00000000" w:rsidRPr="00000000">
                              <w:rPr>
                                <w:rFonts w:ascii="Arial" w:cs="Arial" w:eastAsia="Arial" w:hAnsi="Arial"/>
                                <w:b w:val="0"/>
                                <w:i w:val="0"/>
                                <w:smallCaps w:val="0"/>
                                <w:strike w:val="0"/>
                                <w:color w:val="000000"/>
                                <w:sz w:val="20"/>
                                <w:vertAlign w:val="baseline"/>
                              </w:rPr>
                              <w:t xml:space="preserve">, which is, under the term of Student-Centred Learning (SCL), recognised as an underlying principle of the EHEA.</w:t>
                            </w:r>
                          </w:p>
                          <w:p w:rsidR="00000000" w:rsidDel="00000000" w:rsidP="00000000" w:rsidRDefault="00000000" w:rsidRPr="00000000">
                            <w:pPr>
                              <w:spacing w:after="240" w:before="240" w:line="240"/>
                              <w:ind w:left="0" w:right="0" w:firstLine="0"/>
                              <w:jc w:val="both"/>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563c1"/>
                                <w:sz w:val="20"/>
                                <w:u w:val="single"/>
                                <w:vertAlign w:val="baseline"/>
                              </w:rPr>
                              <w:t xml:space="preserve">https://ec.europa.eu/assets/eac/education/ects/users-guide/ects-and-ehea_en.htm#ectsTop</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2"/>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-335751</wp:posOffset>
                </wp:positionH>
                <wp:positionV relativeFrom="paragraph">
                  <wp:posOffset>300328</wp:posOffset>
                </wp:positionV>
                <wp:extent cx="6219825" cy="3204689"/>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6219825" cy="3204689"/>
                        </a:xfrm>
                        <a:prstGeom prst="rect"/>
                        <a:ln/>
                      </pic:spPr>
                    </pic:pic>
                  </a:graphicData>
                </a:graphic>
              </wp:anchor>
            </w:drawing>
          </mc:Fallback>
        </mc:AlternateConten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1"/>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Appendix 2: Established practice of 5 ECTS acceptance for 3 academic credits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a period of years at Manhattan College, it was the practice to accept in transfer, 5 or 6 ECTS courses as equivalent to 3cr courses. A variety of other institutions utilize similar methods to transfer in credits. Data is generally not easy to uncover since many institutions evaluate on a case by case basis, utilizing published criteria that resides in their Study Abroad Office, rather than in their catalog. Indeed, some are more “generous” than what we propose, i.e., accepting 4 ECTS course as a 3cr in transfer. However, the following sample of institutions do accept 5 ECTS courses in transfers as 3cr courses:</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Arial" w:cs="Arial" w:eastAsia="Arial" w:hAnsi="Arial"/>
          <w:b w:val="1"/>
          <w:i w:val="0"/>
          <w:smallCaps w:val="0"/>
          <w:strike w:val="0"/>
          <w:color w:val="00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Fordham University (Private, Jesuit university)  </w:t>
      </w:r>
      <w:r w:rsidDel="00000000" w:rsidR="00000000" w:rsidRPr="00000000">
        <w:rPr>
          <w:rFonts w:ascii="Arial" w:cs="Arial" w:eastAsia="Arial" w:hAnsi="Arial"/>
          <w:b w:val="1"/>
          <w:i w:val="0"/>
          <w:smallCaps w:val="0"/>
          <w:strike w:val="0"/>
          <w:color w:val="000000"/>
          <w:sz w:val="22"/>
          <w:szCs w:val="22"/>
          <w:highlight w:val="yellow"/>
          <w:u w:val="none"/>
          <w:vertAlign w:val="baseline"/>
          <w:rtl w:val="0"/>
        </w:rPr>
        <w:t xml:space="preserve">CASE in point:</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highlight w:val="yellow"/>
          <w:u w:val="none"/>
          <w:vertAlign w:val="baseline"/>
          <w:rtl w:val="0"/>
        </w:rPr>
        <w:t xml:space="preserve">Fordham accepts 5 ECTS courses as 3 credit courses from the very same partner that we work with in Barcelona: Ramon Llull as well as from other European Universities.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SEE: </w:t>
      </w:r>
      <w:r w:rsidDel="00000000" w:rsidR="00000000" w:rsidRPr="00000000">
        <w:rPr>
          <w:rFonts w:ascii="Arial" w:cs="Arial" w:eastAsia="Arial" w:hAnsi="Arial"/>
          <w:b w:val="0"/>
          <w:i w:val="0"/>
          <w:smallCaps w:val="0"/>
          <w:strike w:val="0"/>
          <w:color w:val="000000"/>
          <w:sz w:val="22"/>
          <w:szCs w:val="22"/>
          <w:highlight w:val="green"/>
          <w:u w:val="none"/>
          <w:vertAlign w:val="baseline"/>
          <w:rtl w:val="0"/>
        </w:rPr>
        <w:t xml:space="preserve">https://www.fordham.edu/study-abroad/how-to-apply/full-term-policies/</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Loyola University (private, Jesuit university). </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Northern Arizona University (public university) </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UNC-Chapel Hill (large public university)</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Punta Loma Nazarene University (small private religiously sponsored</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24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Bentley University (private business university)</w:t>
      </w:r>
    </w:p>
    <w:p w:rsidR="00000000" w:rsidDel="00000000" w:rsidP="00000000" w:rsidRDefault="00000000" w:rsidRPr="00000000" w14:paraId="00000035">
      <w:pPr>
        <w:spacing w:after="0" w:lin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36">
      <w:pPr>
        <w:spacing w:after="0" w:line="240" w:lineRule="auto"/>
        <w:rPr/>
      </w:pPr>
      <w:r w:rsidDel="00000000" w:rsidR="00000000" w:rsidRPr="00000000">
        <w:rPr>
          <w:rtl w:val="0"/>
        </w:rPr>
        <w:t xml:space="preserve">In addition, our newest partner in Europe, Maynooth University - Dublin, indicates that all of their US Partners accept their 5 ECTS courses as 3cr courses, including the following:</w:t>
      </w:r>
    </w:p>
    <w:p w:rsidR="00000000" w:rsidDel="00000000" w:rsidP="00000000" w:rsidRDefault="00000000" w:rsidRPr="00000000" w14:paraId="00000037">
      <w:pPr>
        <w:shd w:fill="ffffff" w:val="clea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New Jersey City University</w:t>
      </w:r>
    </w:p>
    <w:p w:rsidR="00000000" w:rsidDel="00000000" w:rsidP="00000000" w:rsidRDefault="00000000" w:rsidRPr="00000000" w14:paraId="00000038">
      <w:pPr>
        <w:shd w:fill="ffffff" w:val="clea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Manhattanville College</w:t>
      </w:r>
    </w:p>
    <w:p w:rsidR="00000000" w:rsidDel="00000000" w:rsidP="00000000" w:rsidRDefault="00000000" w:rsidRPr="00000000" w14:paraId="00000039">
      <w:pPr>
        <w:shd w:fill="ffffff" w:val="clea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Quinnipiac University</w:t>
      </w:r>
    </w:p>
    <w:p w:rsidR="00000000" w:rsidDel="00000000" w:rsidP="00000000" w:rsidRDefault="00000000" w:rsidRPr="00000000" w14:paraId="0000003A">
      <w:pPr>
        <w:shd w:fill="ffffff" w:val="clea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University of Massachusetts Amherst</w:t>
      </w:r>
    </w:p>
    <w:p w:rsidR="00000000" w:rsidDel="00000000" w:rsidP="00000000" w:rsidRDefault="00000000" w:rsidRPr="00000000" w14:paraId="0000003B">
      <w:pPr>
        <w:shd w:fill="ffffff" w:val="clea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University of Massachusetts, Dartmouth</w:t>
      </w:r>
    </w:p>
    <w:p w:rsidR="00000000" w:rsidDel="00000000" w:rsidP="00000000" w:rsidRDefault="00000000" w:rsidRPr="00000000" w14:paraId="0000003C">
      <w:pPr>
        <w:shd w:fill="ffffff" w:val="clea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Boston College</w:t>
      </w:r>
    </w:p>
    <w:p w:rsidR="00000000" w:rsidDel="00000000" w:rsidP="00000000" w:rsidRDefault="00000000" w:rsidRPr="00000000" w14:paraId="0000003D">
      <w:pPr>
        <w:shd w:fill="ffffff" w:val="clea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SUNY Brockport</w:t>
      </w:r>
    </w:p>
    <w:p w:rsidR="00000000" w:rsidDel="00000000" w:rsidP="00000000" w:rsidRDefault="00000000" w:rsidRPr="00000000" w14:paraId="0000003E">
      <w:pPr>
        <w:shd w:fill="ffffff" w:val="clea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Old Dominion University</w:t>
      </w:r>
    </w:p>
    <w:p w:rsidR="00000000" w:rsidDel="00000000" w:rsidP="00000000" w:rsidRDefault="00000000" w:rsidRPr="00000000" w14:paraId="0000003F">
      <w:pPr>
        <w:shd w:fill="ffffff" w:val="clea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University of Miami</w:t>
      </w:r>
    </w:p>
    <w:p w:rsidR="00000000" w:rsidDel="00000000" w:rsidP="00000000" w:rsidRDefault="00000000" w:rsidRPr="00000000" w14:paraId="00000040">
      <w:pPr>
        <w:shd w:fill="ffffff" w:val="clea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Loyola University Chicago</w:t>
      </w:r>
    </w:p>
    <w:p w:rsidR="00000000" w:rsidDel="00000000" w:rsidP="00000000" w:rsidRDefault="00000000" w:rsidRPr="00000000" w14:paraId="00000041">
      <w:pPr>
        <w:shd w:fill="ffffff" w:val="clea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UNC Wilmington</w:t>
      </w:r>
    </w:p>
    <w:p w:rsidR="00000000" w:rsidDel="00000000" w:rsidP="00000000" w:rsidRDefault="00000000" w:rsidRPr="00000000" w14:paraId="00000042">
      <w:pPr>
        <w:shd w:fill="ffffff" w:val="clear"/>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3">
      <w:pPr>
        <w:shd w:fill="ffffff" w:val="clea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For an exhaustive list of their US partners, all of whom accept 5 ECTS courses as US 3cr:</w:t>
      </w:r>
    </w:p>
    <w:p w:rsidR="00000000" w:rsidDel="00000000" w:rsidP="00000000" w:rsidRDefault="00000000" w:rsidRPr="00000000" w14:paraId="00000044">
      <w:pPr>
        <w:shd w:fill="ffffff" w:val="clear"/>
        <w:spacing w:after="0" w:line="240" w:lineRule="auto"/>
        <w:rPr>
          <w:rFonts w:ascii="Arial" w:cs="Arial" w:eastAsia="Arial" w:hAnsi="Arial"/>
          <w:color w:val="000000"/>
          <w:sz w:val="24"/>
          <w:szCs w:val="24"/>
        </w:rPr>
      </w:pPr>
      <w:hyperlink r:id="rId8">
        <w:r w:rsidDel="00000000" w:rsidR="00000000" w:rsidRPr="00000000">
          <w:rPr>
            <w:rFonts w:ascii="Arial" w:cs="Arial" w:eastAsia="Arial" w:hAnsi="Arial"/>
            <w:color w:val="1155cc"/>
            <w:sz w:val="24"/>
            <w:szCs w:val="24"/>
            <w:u w:val="single"/>
            <w:rtl w:val="0"/>
          </w:rPr>
          <w:t xml:space="preserve">https://www.maynoothuniversity.ie/international/our-global-partner-universities</w:t>
        </w:r>
      </w:hyperlink>
      <w:r w:rsidDel="00000000" w:rsidR="00000000" w:rsidRPr="00000000">
        <w:rPr>
          <w:rtl w:val="0"/>
        </w:rPr>
      </w:r>
    </w:p>
    <w:p w:rsidR="00000000" w:rsidDel="00000000" w:rsidP="00000000" w:rsidRDefault="00000000" w:rsidRPr="00000000" w14:paraId="00000045">
      <w:pPr>
        <w:spacing w:after="0" w:line="240" w:lineRule="auto"/>
        <w:rPr/>
      </w:pPr>
      <w:r w:rsidDel="00000000" w:rsidR="00000000" w:rsidRPr="00000000">
        <w:rPr>
          <w:rtl w:val="0"/>
        </w:rPr>
      </w:r>
    </w:p>
    <w:p w:rsidR="00000000" w:rsidDel="00000000" w:rsidP="00000000" w:rsidRDefault="00000000" w:rsidRPr="00000000" w14:paraId="00000046">
      <w:pPr>
        <w:spacing w:after="0" w:line="240" w:lineRule="auto"/>
        <w:rPr/>
      </w:pPr>
      <w:r w:rsidDel="00000000" w:rsidR="00000000" w:rsidRPr="00000000">
        <w:rPr>
          <w:rtl w:val="0"/>
        </w:rPr>
        <w:t xml:space="preserve">Consistent with the practice of these institutions, the proposed policy will allow MC students to smoothly transfer in their coursework taken at our European partner institutions, granting a full-time semester load.</w:t>
      </w:r>
    </w:p>
    <w:p w:rsidR="00000000" w:rsidDel="00000000" w:rsidP="00000000" w:rsidRDefault="00000000" w:rsidRPr="00000000" w14:paraId="00000047">
      <w:pPr>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584" w:top="1800" w:left="1584" w:right="1584" w:header="850" w:footer="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ourier New"/>
  <w:font w:name="Wingdings"/>
  <w:font w:name="Noto Sans Symbols">
    <w:embedRegular w:fontKey="{00000000-0000-0000-0000-000000000000}" r:id="rId1" w:subsetted="0"/>
    <w:embedBold w:fontKey="{00000000-0000-0000-0000-000000000000}" r:id="rId2" w:subsetted="0"/>
  </w:font>
  <w:font w:name="游明朝"/>
  <w:font w:name="Sitka Subheading"/>
  <w:font w:name="游ゴシック Ligh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160" w:before="0" w:line="259" w:lineRule="auto"/>
      <w:ind w:left="0" w:right="0" w:firstLine="0"/>
      <w:jc w:val="left"/>
      <w:rPr>
        <w:rFonts w:ascii="游明朝" w:cs="游明朝" w:eastAsia="游明朝" w:hAnsi="游明朝"/>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160" w:before="0" w:line="259" w:lineRule="auto"/>
      <w:ind w:left="0" w:right="0" w:firstLine="0"/>
      <w:jc w:val="left"/>
      <w:rPr>
        <w:rFonts w:ascii="游明朝" w:cs="游明朝" w:eastAsia="游明朝" w:hAnsi="游明朝"/>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160" w:before="0" w:line="259" w:lineRule="auto"/>
      <w:ind w:left="0" w:right="0" w:firstLine="0"/>
      <w:jc w:val="center"/>
      <w:rPr>
        <w:rFonts w:ascii="Sitka Subheading" w:cs="Sitka Subheading" w:eastAsia="Sitka Subheading" w:hAnsi="Sitka Subheading"/>
        <w:b w:val="0"/>
        <w:i w:val="0"/>
        <w:smallCaps w:val="0"/>
        <w:strike w:val="0"/>
        <w:color w:val="00940a"/>
        <w:sz w:val="22"/>
        <w:szCs w:val="22"/>
        <w:u w:val="none"/>
        <w:shd w:fill="auto" w:val="clear"/>
        <w:vertAlign w:val="baseline"/>
      </w:rPr>
    </w:pPr>
    <w:r w:rsidDel="00000000" w:rsidR="00000000" w:rsidRPr="00000000">
      <w:rPr>
        <w:rFonts w:ascii="Sitka Subheading" w:cs="Sitka Subheading" w:eastAsia="Sitka Subheading" w:hAnsi="Sitka Subheading"/>
        <w:b w:val="0"/>
        <w:i w:val="0"/>
        <w:smallCaps w:val="0"/>
        <w:strike w:val="0"/>
        <w:color w:val="00940a"/>
        <w:sz w:val="22"/>
        <w:szCs w:val="22"/>
        <w:u w:val="none"/>
        <w:shd w:fill="auto" w:val="clear"/>
        <w:vertAlign w:val="baseline"/>
        <w:rtl w:val="0"/>
      </w:rPr>
      <w:t xml:space="preserve">Thomas Hall 3.32 </w:t>
    </w:r>
    <w:r w:rsidDel="00000000" w:rsidR="00000000" w:rsidRPr="00000000">
      <w:rPr>
        <w:rFonts w:ascii="Wingdings" w:cs="Wingdings" w:eastAsia="Wingdings" w:hAnsi="Wingdings"/>
        <w:b w:val="0"/>
        <w:i w:val="0"/>
        <w:smallCaps w:val="0"/>
        <w:strike w:val="0"/>
        <w:color w:val="00940a"/>
        <w:sz w:val="22"/>
        <w:szCs w:val="22"/>
        <w:u w:val="none"/>
        <w:shd w:fill="auto" w:val="clear"/>
        <w:vertAlign w:val="baseline"/>
        <w:rtl w:val="0"/>
      </w:rPr>
      <w:t xml:space="preserve">•</w:t>
    </w:r>
    <w:r w:rsidDel="00000000" w:rsidR="00000000" w:rsidRPr="00000000">
      <w:rPr>
        <w:rFonts w:ascii="Sitka Subheading" w:cs="Sitka Subheading" w:eastAsia="Sitka Subheading" w:hAnsi="Sitka Subheading"/>
        <w:b w:val="0"/>
        <w:i w:val="0"/>
        <w:smallCaps w:val="0"/>
        <w:strike w:val="0"/>
        <w:color w:val="00940a"/>
        <w:sz w:val="22"/>
        <w:szCs w:val="22"/>
        <w:u w:val="none"/>
        <w:shd w:fill="auto" w:val="clear"/>
        <w:vertAlign w:val="baseline"/>
        <w:rtl w:val="0"/>
      </w:rPr>
      <w:t xml:space="preserve"> 4513 Manhattan College Parkway </w:t>
    </w:r>
    <w:r w:rsidDel="00000000" w:rsidR="00000000" w:rsidRPr="00000000">
      <w:rPr>
        <w:rFonts w:ascii="Wingdings" w:cs="Wingdings" w:eastAsia="Wingdings" w:hAnsi="Wingdings"/>
        <w:b w:val="0"/>
        <w:i w:val="0"/>
        <w:smallCaps w:val="0"/>
        <w:strike w:val="0"/>
        <w:color w:val="00940a"/>
        <w:sz w:val="22"/>
        <w:szCs w:val="22"/>
        <w:u w:val="none"/>
        <w:shd w:fill="auto" w:val="clear"/>
        <w:vertAlign w:val="baseline"/>
        <w:rtl w:val="0"/>
      </w:rPr>
      <w:t xml:space="preserve">•</w:t>
    </w:r>
    <w:r w:rsidDel="00000000" w:rsidR="00000000" w:rsidRPr="00000000">
      <w:rPr>
        <w:rFonts w:ascii="Sitka Subheading" w:cs="Sitka Subheading" w:eastAsia="Sitka Subheading" w:hAnsi="Sitka Subheading"/>
        <w:b w:val="0"/>
        <w:i w:val="0"/>
        <w:smallCaps w:val="0"/>
        <w:strike w:val="0"/>
        <w:color w:val="00940a"/>
        <w:sz w:val="22"/>
        <w:szCs w:val="22"/>
        <w:u w:val="none"/>
        <w:shd w:fill="auto" w:val="clear"/>
        <w:vertAlign w:val="baseline"/>
        <w:rtl w:val="0"/>
      </w:rPr>
      <w:t xml:space="preserve"> Riverdale, NY 10471</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160" w:before="0" w:line="259" w:lineRule="auto"/>
      <w:ind w:left="0" w:right="0" w:firstLine="0"/>
      <w:jc w:val="center"/>
      <w:rPr>
        <w:rFonts w:ascii="Sitka Subheading" w:cs="Sitka Subheading" w:eastAsia="Sitka Subheading" w:hAnsi="Sitka Subheading"/>
        <w:b w:val="0"/>
        <w:i w:val="0"/>
        <w:smallCaps w:val="0"/>
        <w:strike w:val="0"/>
        <w:color w:val="00940a"/>
        <w:sz w:val="22"/>
        <w:szCs w:val="22"/>
        <w:u w:val="none"/>
        <w:shd w:fill="auto" w:val="clear"/>
        <w:vertAlign w:val="baseline"/>
      </w:rPr>
    </w:pPr>
    <w:r w:rsidDel="00000000" w:rsidR="00000000" w:rsidRPr="00000000">
      <w:rPr>
        <w:rFonts w:ascii="Sitka Subheading" w:cs="Sitka Subheading" w:eastAsia="Sitka Subheading" w:hAnsi="Sitka Subheading"/>
        <w:b w:val="0"/>
        <w:i w:val="0"/>
        <w:smallCaps w:val="0"/>
        <w:strike w:val="0"/>
        <w:color w:val="00940a"/>
        <w:sz w:val="22"/>
        <w:szCs w:val="22"/>
        <w:u w:val="none"/>
        <w:shd w:fill="auto" w:val="clear"/>
        <w:vertAlign w:val="baseline"/>
        <w:rtl w:val="0"/>
      </w:rPr>
      <w:t xml:space="preserve">P: 718.862.7527 </w:t>
    </w:r>
    <w:r w:rsidDel="00000000" w:rsidR="00000000" w:rsidRPr="00000000">
      <w:rPr>
        <w:rFonts w:ascii="Wingdings" w:cs="Wingdings" w:eastAsia="Wingdings" w:hAnsi="Wingdings"/>
        <w:b w:val="0"/>
        <w:i w:val="0"/>
        <w:smallCaps w:val="0"/>
        <w:strike w:val="0"/>
        <w:color w:val="00940a"/>
        <w:sz w:val="22"/>
        <w:szCs w:val="22"/>
        <w:u w:val="none"/>
        <w:shd w:fill="auto" w:val="clear"/>
        <w:vertAlign w:val="baseline"/>
        <w:rtl w:val="0"/>
      </w:rPr>
      <w:t xml:space="preserve">•</w:t>
    </w:r>
    <w:r w:rsidDel="00000000" w:rsidR="00000000" w:rsidRPr="00000000">
      <w:rPr>
        <w:rFonts w:ascii="Sitka Subheading" w:cs="Sitka Subheading" w:eastAsia="Sitka Subheading" w:hAnsi="Sitka Subheading"/>
        <w:b w:val="0"/>
        <w:i w:val="0"/>
        <w:smallCaps w:val="0"/>
        <w:strike w:val="0"/>
        <w:color w:val="00940a"/>
        <w:sz w:val="22"/>
        <w:szCs w:val="22"/>
        <w:u w:val="none"/>
        <w:shd w:fill="auto" w:val="clear"/>
        <w:vertAlign w:val="baseline"/>
        <w:rtl w:val="0"/>
      </w:rPr>
      <w:t xml:space="preserve"> F: 718.762.8043 </w:t>
    </w:r>
    <w:r w:rsidDel="00000000" w:rsidR="00000000" w:rsidRPr="00000000">
      <w:rPr>
        <w:rFonts w:ascii="Wingdings" w:cs="Wingdings" w:eastAsia="Wingdings" w:hAnsi="Wingdings"/>
        <w:b w:val="0"/>
        <w:i w:val="0"/>
        <w:smallCaps w:val="0"/>
        <w:strike w:val="0"/>
        <w:color w:val="00940a"/>
        <w:sz w:val="22"/>
        <w:szCs w:val="22"/>
        <w:u w:val="none"/>
        <w:shd w:fill="auto" w:val="clear"/>
        <w:vertAlign w:val="baseline"/>
        <w:rtl w:val="0"/>
      </w:rPr>
      <w:t xml:space="preserve">•</w:t>
    </w:r>
    <w:r w:rsidDel="00000000" w:rsidR="00000000" w:rsidRPr="00000000">
      <w:rPr>
        <w:rFonts w:ascii="Sitka Subheading" w:cs="Sitka Subheading" w:eastAsia="Sitka Subheading" w:hAnsi="Sitka Subheading"/>
        <w:b w:val="0"/>
        <w:i w:val="0"/>
        <w:smallCaps w:val="0"/>
        <w:strike w:val="0"/>
        <w:color w:val="00940a"/>
        <w:sz w:val="22"/>
        <w:szCs w:val="22"/>
        <w:u w:val="none"/>
        <w:shd w:fill="auto" w:val="clear"/>
        <w:vertAlign w:val="baseline"/>
        <w:rtl w:val="0"/>
      </w:rPr>
      <w:t xml:space="preserve"> </w:t>
    </w:r>
    <w:hyperlink r:id="rId1">
      <w:r w:rsidDel="00000000" w:rsidR="00000000" w:rsidRPr="00000000">
        <w:rPr>
          <w:rFonts w:ascii="Sitka Subheading" w:cs="Sitka Subheading" w:eastAsia="Sitka Subheading" w:hAnsi="Sitka Subheading"/>
          <w:b w:val="0"/>
          <w:i w:val="0"/>
          <w:smallCaps w:val="0"/>
          <w:strike w:val="0"/>
          <w:color w:val="0563c1"/>
          <w:sz w:val="22"/>
          <w:szCs w:val="22"/>
          <w:u w:val="single"/>
          <w:shd w:fill="auto" w:val="clear"/>
          <w:vertAlign w:val="baseline"/>
          <w:rtl w:val="0"/>
        </w:rPr>
        <w:t xml:space="preserve">studyabroad@manhattan.edu</w:t>
      </w:r>
    </w:hyperlink>
    <w:r w:rsidDel="00000000" w:rsidR="00000000" w:rsidRPr="00000000">
      <w:rPr>
        <w:rFonts w:ascii="Sitka Subheading" w:cs="Sitka Subheading" w:eastAsia="Sitka Subheading" w:hAnsi="Sitka Subheading"/>
        <w:b w:val="0"/>
        <w:i w:val="0"/>
        <w:smallCaps w:val="0"/>
        <w:strike w:val="0"/>
        <w:color w:val="00940a"/>
        <w:sz w:val="22"/>
        <w:szCs w:val="22"/>
        <w:u w:val="none"/>
        <w:shd w:fill="auto" w:val="clear"/>
        <w:vertAlign w:val="baseline"/>
        <w:rtl w:val="0"/>
      </w:rPr>
      <w:t xml:space="preserve"> </w:t>
    </w:r>
    <w:r w:rsidDel="00000000" w:rsidR="00000000" w:rsidRPr="00000000">
      <w:rPr>
        <w:rFonts w:ascii="Wingdings" w:cs="Wingdings" w:eastAsia="Wingdings" w:hAnsi="Wingdings"/>
        <w:b w:val="0"/>
        <w:i w:val="0"/>
        <w:smallCaps w:val="0"/>
        <w:strike w:val="0"/>
        <w:color w:val="00940a"/>
        <w:sz w:val="22"/>
        <w:szCs w:val="22"/>
        <w:u w:val="none"/>
        <w:shd w:fill="auto" w:val="clear"/>
        <w:vertAlign w:val="baseline"/>
        <w:rtl w:val="0"/>
      </w:rPr>
      <w:t xml:space="preserve">•</w:t>
    </w:r>
    <w:r w:rsidDel="00000000" w:rsidR="00000000" w:rsidRPr="00000000">
      <w:rPr>
        <w:rFonts w:ascii="Sitka Subheading" w:cs="Sitka Subheading" w:eastAsia="Sitka Subheading" w:hAnsi="Sitka Subheading"/>
        <w:b w:val="0"/>
        <w:i w:val="0"/>
        <w:smallCaps w:val="0"/>
        <w:strike w:val="0"/>
        <w:color w:val="00940a"/>
        <w:sz w:val="22"/>
        <w:szCs w:val="22"/>
        <w:u w:val="none"/>
        <w:shd w:fill="auto" w:val="clear"/>
        <w:vertAlign w:val="baseline"/>
        <w:rtl w:val="0"/>
      </w:rPr>
      <w:t xml:space="preserve"> www.manhattan.edu</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160" w:before="0" w:line="259" w:lineRule="auto"/>
      <w:ind w:left="0" w:right="-1338" w:hanging="1036"/>
      <w:jc w:val="left"/>
      <w:rPr>
        <w:rFonts w:ascii="游明朝" w:cs="游明朝" w:eastAsia="游明朝" w:hAnsi="游明朝"/>
        <w:b w:val="0"/>
        <w:i w:val="0"/>
        <w:smallCaps w:val="0"/>
        <w:strike w:val="0"/>
        <w:color w:val="000000"/>
        <w:sz w:val="22"/>
        <w:szCs w:val="22"/>
        <w:u w:val="none"/>
        <w:shd w:fill="auto" w:val="clear"/>
        <w:vertAlign w:val="baseline"/>
      </w:rPr>
    </w:pPr>
    <w:r w:rsidDel="00000000" w:rsidR="00000000" w:rsidRPr="00000000">
      <w:rPr>
        <w:rFonts w:ascii="游明朝" w:cs="游明朝" w:eastAsia="游明朝" w:hAnsi="游明朝"/>
        <w:b w:val="0"/>
        <w:i w:val="0"/>
        <w:smallCaps w:val="0"/>
        <w:strike w:val="0"/>
        <w:color w:val="000000"/>
        <w:sz w:val="22"/>
        <w:szCs w:val="22"/>
        <w:u w:val="none"/>
        <w:shd w:fill="auto" w:val="clear"/>
        <w:vertAlign w:val="baseline"/>
      </w:rPr>
      <w:drawing>
        <wp:inline distB="0" distT="0" distL="0" distR="0">
          <wp:extent cx="3280297" cy="688924"/>
          <wp:effectExtent b="0" l="0" r="0" t="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280297" cy="688924"/>
                  </a:xfrm>
                  <a:prstGeom prst="rect"/>
                  <a:ln/>
                </pic:spPr>
              </pic:pic>
            </a:graphicData>
          </a:graphic>
        </wp:inline>
      </w:drawing>
    </w:r>
    <w:r w:rsidDel="00000000" w:rsidR="00000000" w:rsidRPr="00000000">
      <w:rPr>
        <w:rFonts w:ascii="游明朝" w:cs="游明朝" w:eastAsia="游明朝" w:hAnsi="游明朝"/>
        <w:b w:val="0"/>
        <w:i w:val="0"/>
        <w:smallCaps w:val="0"/>
        <w:strike w:val="0"/>
        <w:color w:val="000000"/>
        <w:sz w:val="22"/>
        <w:szCs w:val="22"/>
        <w:u w:val="none"/>
        <w:shd w:fill="auto" w:val="clear"/>
        <w:vertAlign w:val="baseline"/>
        <w:rtl w:val="0"/>
      </w:rPr>
      <w:tab/>
      <w:tab/>
      <w:tab/>
      <w:tab/>
    </w:r>
    <w:r w:rsidDel="00000000" w:rsidR="00000000" w:rsidRPr="00000000">
      <w:rPr>
        <w:rFonts w:ascii="游明朝" w:cs="游明朝" w:eastAsia="游明朝" w:hAnsi="游明朝"/>
        <w:b w:val="0"/>
        <w:i w:val="0"/>
        <w:smallCaps w:val="0"/>
        <w:strike w:val="0"/>
        <w:color w:val="000000"/>
        <w:sz w:val="22"/>
        <w:szCs w:val="22"/>
        <w:u w:val="none"/>
        <w:shd w:fill="auto" w:val="clear"/>
        <w:vertAlign w:val="baseline"/>
      </w:rPr>
      <w:drawing>
        <wp:inline distB="0" distT="0" distL="0" distR="0">
          <wp:extent cx="1931427" cy="723677"/>
          <wp:effectExtent b="0" l="0" r="0" t="0"/>
          <wp:docPr id="3"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931427" cy="723677"/>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160" w:before="0" w:line="259" w:lineRule="auto"/>
      <w:ind w:left="0" w:right="0" w:firstLine="0"/>
      <w:jc w:val="left"/>
      <w:rPr>
        <w:rFonts w:ascii="游明朝" w:cs="游明朝" w:eastAsia="游明朝" w:hAnsi="游明朝"/>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160" w:before="0" w:line="259" w:lineRule="auto"/>
      <w:ind w:left="0" w:right="0" w:firstLine="0"/>
      <w:jc w:val="left"/>
      <w:rPr>
        <w:rFonts w:ascii="游明朝" w:cs="游明朝" w:eastAsia="游明朝" w:hAnsi="游明朝"/>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游明朝" w:cs="游明朝" w:eastAsia="游明朝" w:hAnsi="游明朝"/>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游ゴシック Light" w:cs="游ゴシック Light" w:eastAsia="游ゴシック Light" w:hAnsi="游ゴシック Light"/>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yperlink" Target="https://www.maynoothuniversity.ie/international/our-global-partner-universiti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3.xml.rels><?xml version="1.0" encoding="UTF-8" standalone="yes"?><Relationships xmlns="http://schemas.openxmlformats.org/package/2006/relationships"><Relationship Id="rId1" Type="http://schemas.openxmlformats.org/officeDocument/2006/relationships/hyperlink" Target="mailto:studyabroad@manhattan.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Tdg6C9fcof8We3gaQZYzt78AYw==">CgMxLjAyCGguZ2pkZ3hzOAByITFRUEV5NVExTWZKRTdQWnhPbDlqbnhkVnBQTEhON0hnXw==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