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C6510" w:rsidRDefault="00844DFB">
      <w:pPr>
        <w:jc w:val="center"/>
        <w:rPr>
          <w:b/>
        </w:rPr>
      </w:pPr>
      <w:bookmarkStart w:id="0" w:name="_GoBack"/>
      <w:bookmarkEnd w:id="0"/>
      <w:r>
        <w:rPr>
          <w:b/>
        </w:rPr>
        <w:t>Educational Affairs Committee</w:t>
      </w:r>
    </w:p>
    <w:p w14:paraId="00000002" w14:textId="77777777" w:rsidR="009C6510" w:rsidRDefault="00844DFB">
      <w:pPr>
        <w:jc w:val="center"/>
        <w:rPr>
          <w:b/>
        </w:rPr>
      </w:pPr>
      <w:r>
        <w:rPr>
          <w:b/>
        </w:rPr>
        <w:t>Agenda</w:t>
      </w:r>
    </w:p>
    <w:p w14:paraId="00000003" w14:textId="77777777" w:rsidR="009C6510" w:rsidRDefault="00844DFB">
      <w:pPr>
        <w:jc w:val="center"/>
      </w:pPr>
      <w:r>
        <w:t>March 1, 2022</w:t>
      </w:r>
    </w:p>
    <w:p w14:paraId="00000004" w14:textId="77777777" w:rsidR="009C6510" w:rsidRDefault="00844DFB">
      <w:pPr>
        <w:spacing w:line="240" w:lineRule="auto"/>
        <w:rPr>
          <w:b/>
          <w:sz w:val="24"/>
          <w:szCs w:val="24"/>
        </w:rPr>
        <w:sectPr w:rsidR="009C6510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b/>
          <w:i/>
          <w:sz w:val="24"/>
          <w:szCs w:val="24"/>
        </w:rPr>
        <w:t>Voting Members:</w:t>
      </w:r>
      <w:r>
        <w:rPr>
          <w:b/>
          <w:sz w:val="24"/>
          <w:szCs w:val="24"/>
        </w:rPr>
        <w:t xml:space="preserve"> </w:t>
      </w:r>
    </w:p>
    <w:p w14:paraId="00000005" w14:textId="77777777" w:rsidR="009C6510" w:rsidRDefault="00844DFB">
      <w:pPr>
        <w:spacing w:after="0" w:line="240" w:lineRule="auto"/>
      </w:pPr>
      <w:r>
        <w:t>Kevin Ahern (</w:t>
      </w:r>
      <w:proofErr w:type="spellStart"/>
      <w:r>
        <w:t>SoLA</w:t>
      </w:r>
      <w:proofErr w:type="spellEnd"/>
      <w:r>
        <w:t>)</w:t>
      </w:r>
    </w:p>
    <w:p w14:paraId="00000006" w14:textId="77777777" w:rsidR="009C6510" w:rsidRDefault="00844DFB">
      <w:pPr>
        <w:spacing w:after="0" w:line="240" w:lineRule="auto"/>
      </w:pPr>
      <w:r>
        <w:t>Poonam Arora (</w:t>
      </w:r>
      <w:proofErr w:type="spellStart"/>
      <w:r>
        <w:t>OSoB</w:t>
      </w:r>
      <w:proofErr w:type="spellEnd"/>
      <w:r>
        <w:t>)</w:t>
      </w:r>
    </w:p>
    <w:p w14:paraId="00000007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>Bart Horn (</w:t>
      </w:r>
      <w:proofErr w:type="spellStart"/>
      <w:proofErr w:type="gramStart"/>
      <w:r>
        <w:rPr>
          <w:highlight w:val="yellow"/>
        </w:rPr>
        <w:t>SoS</w:t>
      </w:r>
      <w:proofErr w:type="spellEnd"/>
      <w:proofErr w:type="gramEnd"/>
      <w:r>
        <w:rPr>
          <w:highlight w:val="yellow"/>
        </w:rPr>
        <w:t>)</w:t>
      </w:r>
    </w:p>
    <w:p w14:paraId="00000008" w14:textId="77777777" w:rsidR="009C6510" w:rsidRDefault="00844DFB">
      <w:pPr>
        <w:spacing w:after="0" w:line="240" w:lineRule="auto"/>
        <w:ind w:right="-60"/>
        <w:rPr>
          <w:highlight w:val="yellow"/>
        </w:rPr>
      </w:pPr>
      <w:r>
        <w:rPr>
          <w:highlight w:val="yellow"/>
        </w:rPr>
        <w:t>Christie Gonzalez-Toro (</w:t>
      </w:r>
      <w:proofErr w:type="spellStart"/>
      <w:r>
        <w:rPr>
          <w:highlight w:val="yellow"/>
        </w:rPr>
        <w:t>SoEH</w:t>
      </w:r>
      <w:proofErr w:type="spellEnd"/>
      <w:r>
        <w:rPr>
          <w:highlight w:val="yellow"/>
        </w:rPr>
        <w:t>)</w:t>
      </w:r>
    </w:p>
    <w:p w14:paraId="00000009" w14:textId="77777777" w:rsidR="009C6510" w:rsidRDefault="00844DFB">
      <w:pPr>
        <w:spacing w:after="0" w:line="240" w:lineRule="auto"/>
        <w:rPr>
          <w:highlight w:val="yellow"/>
        </w:rPr>
      </w:pPr>
      <w:proofErr w:type="spellStart"/>
      <w:r>
        <w:rPr>
          <w:highlight w:val="yellow"/>
        </w:rPr>
        <w:t>Mahbuboor</w:t>
      </w:r>
      <w:proofErr w:type="spellEnd"/>
      <w:r>
        <w:rPr>
          <w:highlight w:val="yellow"/>
        </w:rPr>
        <w:t xml:space="preserve"> Choudhury (</w:t>
      </w:r>
      <w:proofErr w:type="spellStart"/>
      <w:r>
        <w:rPr>
          <w:highlight w:val="yellow"/>
        </w:rPr>
        <w:t>SoE</w:t>
      </w:r>
      <w:proofErr w:type="spellEnd"/>
      <w:r>
        <w:rPr>
          <w:highlight w:val="yellow"/>
        </w:rPr>
        <w:t>)</w:t>
      </w:r>
    </w:p>
    <w:p w14:paraId="0000000A" w14:textId="77777777" w:rsidR="009C6510" w:rsidRDefault="00844DFB">
      <w:pPr>
        <w:spacing w:after="0" w:line="240" w:lineRule="auto"/>
        <w:rPr>
          <w:highlight w:val="yellow"/>
        </w:rPr>
      </w:pPr>
      <w:proofErr w:type="spellStart"/>
      <w:r>
        <w:rPr>
          <w:highlight w:val="yellow"/>
        </w:rPr>
        <w:t>Calissa</w:t>
      </w:r>
      <w:proofErr w:type="spellEnd"/>
      <w:r>
        <w:rPr>
          <w:highlight w:val="yellow"/>
        </w:rPr>
        <w:t xml:space="preserve"> McNeely (Student)</w:t>
      </w:r>
    </w:p>
    <w:p w14:paraId="0000000B" w14:textId="77777777" w:rsidR="009C6510" w:rsidRDefault="00844DFB">
      <w:pPr>
        <w:spacing w:after="0" w:line="240" w:lineRule="auto"/>
      </w:pPr>
      <w:r>
        <w:t xml:space="preserve">Zach </w:t>
      </w:r>
      <w:proofErr w:type="spellStart"/>
      <w:r>
        <w:t>Olivan</w:t>
      </w:r>
      <w:proofErr w:type="spellEnd"/>
      <w:r>
        <w:t xml:space="preserve"> (Student)</w:t>
      </w:r>
    </w:p>
    <w:p w14:paraId="0000000C" w14:textId="77777777" w:rsidR="009C6510" w:rsidRDefault="00844DFB">
      <w:pPr>
        <w:spacing w:after="0" w:line="240" w:lineRule="auto"/>
      </w:pPr>
      <w:r>
        <w:t>Kevin Rojas (Student)</w:t>
      </w:r>
    </w:p>
    <w:p w14:paraId="0000000D" w14:textId="77777777" w:rsidR="009C6510" w:rsidRDefault="00844DFB">
      <w:pPr>
        <w:spacing w:after="0" w:line="240" w:lineRule="auto"/>
      </w:pPr>
      <w:r>
        <w:t xml:space="preserve">Cory </w:t>
      </w:r>
      <w:proofErr w:type="spellStart"/>
      <w:r>
        <w:t>Blad</w:t>
      </w:r>
      <w:proofErr w:type="spellEnd"/>
      <w:r>
        <w:t xml:space="preserve"> (Admin)</w:t>
      </w:r>
    </w:p>
    <w:p w14:paraId="0000000E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>Donald Gibson (Admin)</w:t>
      </w:r>
    </w:p>
    <w:p w14:paraId="0000000F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>Steven Goss (Admin)</w:t>
      </w:r>
    </w:p>
    <w:p w14:paraId="00000010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 xml:space="preserve">Rani Roy (Admin) </w:t>
      </w:r>
    </w:p>
    <w:p w14:paraId="00000011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>Michael Quinn (Fac. Senator)</w:t>
      </w:r>
    </w:p>
    <w:p w14:paraId="00000012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>Sarah Wacker (Fac. Senator)</w:t>
      </w:r>
    </w:p>
    <w:p w14:paraId="00000013" w14:textId="77777777" w:rsidR="009C6510" w:rsidRDefault="00844DFB">
      <w:pPr>
        <w:spacing w:after="0" w:line="240" w:lineRule="auto"/>
        <w:rPr>
          <w:highlight w:val="yellow"/>
        </w:rPr>
        <w:sectPr w:rsidR="009C6510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rPr>
          <w:highlight w:val="yellow"/>
        </w:rPr>
        <w:t>Steven Schreiner (Provost)</w:t>
      </w:r>
    </w:p>
    <w:p w14:paraId="00000014" w14:textId="77777777" w:rsidR="009C6510" w:rsidRDefault="009C6510">
      <w:pPr>
        <w:spacing w:line="240" w:lineRule="auto"/>
        <w:rPr>
          <w:i/>
        </w:rPr>
      </w:pPr>
    </w:p>
    <w:p w14:paraId="00000015" w14:textId="77777777" w:rsidR="009C6510" w:rsidRDefault="00844DFB">
      <w:pPr>
        <w:spacing w:line="240" w:lineRule="auto"/>
        <w:sectPr w:rsidR="009C651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b/>
          <w:i/>
          <w:sz w:val="24"/>
          <w:szCs w:val="24"/>
        </w:rPr>
        <w:t>Ex Officio Members:</w:t>
      </w:r>
      <w:r>
        <w:t xml:space="preserve"> </w:t>
      </w:r>
      <w:r>
        <w:tab/>
      </w:r>
    </w:p>
    <w:p w14:paraId="00000016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>Sr. Mary Ann Jacobs (CCC)</w:t>
      </w:r>
    </w:p>
    <w:p w14:paraId="00000017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>Edward Dee (Assessment)</w:t>
      </w:r>
    </w:p>
    <w:p w14:paraId="00000018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 xml:space="preserve">Jake </w:t>
      </w:r>
      <w:proofErr w:type="spellStart"/>
      <w:r>
        <w:rPr>
          <w:highlight w:val="yellow"/>
        </w:rPr>
        <w:t>Holmquist</w:t>
      </w:r>
      <w:proofErr w:type="spellEnd"/>
      <w:r>
        <w:rPr>
          <w:highlight w:val="yellow"/>
        </w:rPr>
        <w:t xml:space="preserve"> (CTC)</w:t>
      </w:r>
    </w:p>
    <w:p w14:paraId="00000019" w14:textId="77777777" w:rsidR="009C6510" w:rsidRDefault="00844DFB">
      <w:pPr>
        <w:spacing w:after="0" w:line="240" w:lineRule="auto"/>
        <w:rPr>
          <w:highlight w:val="yellow"/>
        </w:rPr>
      </w:pPr>
      <w:r>
        <w:rPr>
          <w:highlight w:val="yellow"/>
        </w:rPr>
        <w:t xml:space="preserve">Carlos </w:t>
      </w:r>
      <w:proofErr w:type="spellStart"/>
      <w:r>
        <w:rPr>
          <w:highlight w:val="yellow"/>
        </w:rPr>
        <w:t>Tonche</w:t>
      </w:r>
      <w:proofErr w:type="spellEnd"/>
      <w:r>
        <w:rPr>
          <w:highlight w:val="yellow"/>
        </w:rPr>
        <w:t xml:space="preserve"> (Registrar)</w:t>
      </w:r>
    </w:p>
    <w:p w14:paraId="0000001A" w14:textId="77777777" w:rsidR="009C6510" w:rsidRDefault="00844DFB">
      <w:pPr>
        <w:spacing w:after="0" w:line="240" w:lineRule="auto"/>
        <w:rPr>
          <w:highlight w:val="yellow"/>
        </w:rPr>
        <w:sectPr w:rsidR="009C6510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rPr>
          <w:highlight w:val="yellow"/>
        </w:rPr>
        <w:t xml:space="preserve">William </w:t>
      </w:r>
      <w:proofErr w:type="gramStart"/>
      <w:r>
        <w:rPr>
          <w:highlight w:val="yellow"/>
        </w:rPr>
        <w:t>Walters  (</w:t>
      </w:r>
      <w:proofErr w:type="gramEnd"/>
      <w:r>
        <w:rPr>
          <w:highlight w:val="yellow"/>
        </w:rPr>
        <w:t>CLC)</w:t>
      </w:r>
    </w:p>
    <w:p w14:paraId="0000001B" w14:textId="77777777" w:rsidR="009C6510" w:rsidRDefault="009C6510">
      <w:pPr>
        <w:spacing w:after="0" w:line="240" w:lineRule="auto"/>
      </w:pPr>
    </w:p>
    <w:p w14:paraId="0000001C" w14:textId="77777777" w:rsidR="009C6510" w:rsidRDefault="009C6510">
      <w:pPr>
        <w:spacing w:after="0" w:line="240" w:lineRule="auto"/>
      </w:pPr>
    </w:p>
    <w:p w14:paraId="0000001D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Approval of the Agenda</w:t>
      </w:r>
    </w:p>
    <w:p w14:paraId="0000001E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MSA</w:t>
      </w:r>
    </w:p>
    <w:p w14:paraId="0000001F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  <w:sz w:val="24"/>
          <w:szCs w:val="24"/>
        </w:rPr>
        <w:t xml:space="preserve">Approval of Minutes from </w:t>
      </w:r>
      <w:r>
        <w:rPr>
          <w:sz w:val="24"/>
          <w:szCs w:val="24"/>
        </w:rPr>
        <w:t xml:space="preserve">February 1, </w:t>
      </w:r>
      <w:r>
        <w:rPr>
          <w:color w:val="000000"/>
          <w:sz w:val="24"/>
          <w:szCs w:val="24"/>
        </w:rPr>
        <w:t>202</w:t>
      </w: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(see attachment in drive)</w:t>
      </w:r>
    </w:p>
    <w:p w14:paraId="00000020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MSA</w:t>
      </w:r>
    </w:p>
    <w:p w14:paraId="00000021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Report of the College-Wide Curriculum Committee (CCC) – </w:t>
      </w:r>
      <w:r>
        <w:t>Sr. Mary Ann Jacobs</w:t>
      </w:r>
    </w:p>
    <w:p w14:paraId="00000022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1 program has been approved-EM3C</w:t>
      </w:r>
    </w:p>
    <w:p w14:paraId="00000023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Program from Italian and Italian Diaspora is being reviewed by Dean </w:t>
      </w:r>
      <w:proofErr w:type="spellStart"/>
      <w:r>
        <w:t>Blad</w:t>
      </w:r>
      <w:proofErr w:type="spellEnd"/>
      <w:r>
        <w:t xml:space="preserve"> and the Provost</w:t>
      </w:r>
    </w:p>
    <w:p w14:paraId="00000024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SCPS submitted a new proposal and returned with comments</w:t>
      </w:r>
    </w:p>
    <w:p w14:paraId="00000025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M</w:t>
      </w:r>
      <w:r>
        <w:t>embers of CCC met with the Provost to discuss process and procedures</w:t>
      </w:r>
    </w:p>
    <w:p w14:paraId="00000026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  </w:t>
      </w:r>
      <w:proofErr w:type="gramStart"/>
      <w:r>
        <w:t>New programs are approved by the Provost, who will notify the Registrar, applicant, and CCC</w:t>
      </w:r>
      <w:proofErr w:type="gramEnd"/>
      <w:r>
        <w:t>.</w:t>
      </w:r>
    </w:p>
    <w:p w14:paraId="00000027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New programs </w:t>
      </w:r>
      <w:proofErr w:type="gramStart"/>
      <w:r>
        <w:t>should be developed</w:t>
      </w:r>
      <w:proofErr w:type="gramEnd"/>
      <w:r>
        <w:t xml:space="preserve"> in consultation with the dean, who can also consult with the provost.</w:t>
      </w:r>
    </w:p>
    <w:p w14:paraId="00000028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 Perhaps an electronic workflow process </w:t>
      </w:r>
      <w:proofErr w:type="gramStart"/>
      <w:r>
        <w:t>could be implemented</w:t>
      </w:r>
      <w:proofErr w:type="gramEnd"/>
      <w:r>
        <w:t xml:space="preserve"> to help track approvals.</w:t>
      </w:r>
    </w:p>
    <w:p w14:paraId="00000029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Reminder: School Curriculum Committee meeting minutes need to be se</w:t>
      </w:r>
      <w:r>
        <w:t xml:space="preserve">nt in, especially with Middle States </w:t>
      </w:r>
      <w:proofErr w:type="gramStart"/>
      <w:r>
        <w:t>coming  -</w:t>
      </w:r>
      <w:proofErr w:type="gramEnd"/>
      <w:r>
        <w:t xml:space="preserve"> review Moodle page to see what is missing.</w:t>
      </w:r>
    </w:p>
    <w:p w14:paraId="0000002A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Any proposals for March, should be turned in by next Tuesday</w:t>
      </w:r>
    </w:p>
    <w:p w14:paraId="0000002B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Report of the College Technology Committee (CTC) – Rob Moran</w:t>
      </w:r>
    </w:p>
    <w:p w14:paraId="0000002C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Faculty Laptop Initiative</w:t>
      </w:r>
    </w:p>
    <w:p w14:paraId="0000002D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Trying to fill the</w:t>
      </w:r>
      <w:r>
        <w:rPr>
          <w:sz w:val="23"/>
          <w:szCs w:val="23"/>
        </w:rPr>
        <w:t xml:space="preserve"> backlog </w:t>
      </w:r>
    </w:p>
    <w:p w14:paraId="0000002E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Reached out to eligible faculty</w:t>
      </w:r>
    </w:p>
    <w:p w14:paraId="0000002F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Question: Clarifying the cycle/terms are of the laptop initiative</w:t>
      </w:r>
    </w:p>
    <w:p w14:paraId="00000030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Report of the College Library Committee (CLC) – William Walters</w:t>
      </w:r>
    </w:p>
    <w:p w14:paraId="00000031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No report - expect to meet next week</w:t>
      </w:r>
    </w:p>
    <w:p w14:paraId="00000032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Report of the Graduate Council – Steve Schreiner</w:t>
      </w:r>
    </w:p>
    <w:p w14:paraId="00000033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Discussion of graduate administrative restructuring</w:t>
      </w:r>
    </w:p>
    <w:p w14:paraId="00000034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lastRenderedPageBreak/>
        <w:t>The grad program directors provided extensive feedback through their deans</w:t>
      </w:r>
    </w:p>
    <w:p w14:paraId="00000035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Feedback is being used to finalize the recommendations</w:t>
      </w:r>
    </w:p>
    <w:p w14:paraId="00000036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We have a goal to return </w:t>
      </w:r>
      <w:r>
        <w:rPr>
          <w:sz w:val="23"/>
          <w:szCs w:val="23"/>
        </w:rPr>
        <w:t>to pre-pandemic levels of enrollment.</w:t>
      </w:r>
    </w:p>
    <w:p w14:paraId="00000037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3"/>
          <w:szCs w:val="23"/>
        </w:rPr>
      </w:pPr>
      <w:r>
        <w:rPr>
          <w:sz w:val="23"/>
          <w:szCs w:val="23"/>
        </w:rPr>
        <w:t>New marketing initiatives have begun</w:t>
      </w:r>
    </w:p>
    <w:p w14:paraId="00000038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Old Business</w:t>
      </w:r>
    </w:p>
    <w:p w14:paraId="00000039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Dismissal Appeal Policy</w:t>
      </w:r>
    </w:p>
    <w:p w14:paraId="0000003A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Note that this discussion focuses only on the dismissal appeal policy - at a previous EAC meeting academic suspension and other related topics </w:t>
      </w:r>
      <w:proofErr w:type="gramStart"/>
      <w:r>
        <w:rPr>
          <w:sz w:val="24"/>
          <w:szCs w:val="24"/>
        </w:rPr>
        <w:t>w</w:t>
      </w:r>
      <w:r>
        <w:rPr>
          <w:sz w:val="24"/>
          <w:szCs w:val="24"/>
        </w:rPr>
        <w:t>ere brought up,</w:t>
      </w:r>
      <w:proofErr w:type="gramEnd"/>
      <w:r>
        <w:rPr>
          <w:sz w:val="24"/>
          <w:szCs w:val="24"/>
        </w:rPr>
        <w:t xml:space="preserve"> but this proposal from the deans is focused only on the appeal of a dismissal.  See New Business for a discussion.</w:t>
      </w:r>
    </w:p>
    <w:p w14:paraId="0000003B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Returning after comments from EAC </w:t>
      </w:r>
    </w:p>
    <w:p w14:paraId="0000003C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Timeline was not clear, has been update</w:t>
      </w:r>
    </w:p>
    <w:p w14:paraId="0000003D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Basis of appeal was provided, an update</w:t>
      </w:r>
    </w:p>
    <w:p w14:paraId="0000003E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Appeal granted information provided, an update</w:t>
      </w:r>
    </w:p>
    <w:p w14:paraId="0000003F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Emphasized: dismissal is a final action that comes after </w:t>
      </w:r>
    </w:p>
    <w:p w14:paraId="00000040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Question: Would this policy be in both catalogs?</w:t>
      </w:r>
    </w:p>
    <w:p w14:paraId="00000041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Answer: The focus for this was in undergraduate </w:t>
      </w:r>
    </w:p>
    <w:p w14:paraId="00000042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Question: How does Academic Contracting fit into this?</w:t>
      </w:r>
    </w:p>
    <w:p w14:paraId="00000043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Answer: It is falls under the umbrella and some schools have specific ways to address this, like academic contract</w:t>
      </w:r>
    </w:p>
    <w:p w14:paraId="00000044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MSA - Unanimous</w:t>
      </w:r>
    </w:p>
    <w:p w14:paraId="00000045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2" w:name="_heading=h.3znysh7" w:colFirst="0" w:colLast="0"/>
      <w:bookmarkEnd w:id="2"/>
      <w:r>
        <w:rPr>
          <w:sz w:val="24"/>
          <w:szCs w:val="24"/>
        </w:rPr>
        <w:t>SCPS Transfer Policy Proposal</w:t>
      </w:r>
    </w:p>
    <w:p w14:paraId="00000046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3" w:name="_heading=h.rz71ex7kwr6t" w:colFirst="0" w:colLast="0"/>
      <w:bookmarkEnd w:id="3"/>
      <w:r>
        <w:rPr>
          <w:sz w:val="24"/>
          <w:szCs w:val="24"/>
        </w:rPr>
        <w:t>Returning after comments from EAC</w:t>
      </w:r>
    </w:p>
    <w:p w14:paraId="00000047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4" w:name="_heading=h.qlyxylabsn0h" w:colFirst="0" w:colLast="0"/>
      <w:bookmarkEnd w:id="4"/>
      <w:r>
        <w:rPr>
          <w:sz w:val="24"/>
          <w:szCs w:val="24"/>
        </w:rPr>
        <w:t>Langua</w:t>
      </w:r>
      <w:r>
        <w:rPr>
          <w:sz w:val="24"/>
          <w:szCs w:val="24"/>
        </w:rPr>
        <w:t>ge cleaned up within the proposal</w:t>
      </w:r>
    </w:p>
    <w:p w14:paraId="00000048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5" w:name="_heading=h.kc9nzb2p8sy5" w:colFirst="0" w:colLast="0"/>
      <w:bookmarkEnd w:id="5"/>
      <w:r>
        <w:rPr>
          <w:sz w:val="24"/>
          <w:szCs w:val="24"/>
        </w:rPr>
        <w:t>Question: Did this proposal go through the Dean’s Council?</w:t>
      </w:r>
    </w:p>
    <w:p w14:paraId="00000049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6" w:name="_heading=h.z992jobf6fov" w:colFirst="0" w:colLast="0"/>
      <w:bookmarkEnd w:id="6"/>
      <w:r>
        <w:rPr>
          <w:sz w:val="24"/>
          <w:szCs w:val="24"/>
        </w:rPr>
        <w:t xml:space="preserve">Answer: Yes </w:t>
      </w:r>
    </w:p>
    <w:p w14:paraId="0000004A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7" w:name="_heading=h.yqv3deuuilx4" w:colFirst="0" w:colLast="0"/>
      <w:bookmarkEnd w:id="7"/>
      <w:r>
        <w:rPr>
          <w:sz w:val="24"/>
          <w:szCs w:val="24"/>
        </w:rPr>
        <w:t>MSA- Unanimous</w:t>
      </w:r>
    </w:p>
    <w:p w14:paraId="0000004B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8" w:name="_heading=h.1fob9te" w:colFirst="0" w:colLast="0"/>
      <w:bookmarkEnd w:id="8"/>
      <w:r>
        <w:rPr>
          <w:color w:val="000000"/>
          <w:sz w:val="24"/>
          <w:szCs w:val="24"/>
        </w:rPr>
        <w:t>New Business</w:t>
      </w:r>
    </w:p>
    <w:p w14:paraId="0000004C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9" w:name="_heading=h.gal870q1g5kf" w:colFirst="0" w:colLast="0"/>
      <w:bookmarkEnd w:id="9"/>
      <w:r>
        <w:rPr>
          <w:sz w:val="24"/>
          <w:szCs w:val="24"/>
        </w:rPr>
        <w:t>Academic Suspension</w:t>
      </w:r>
    </w:p>
    <w:p w14:paraId="0000004D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0" w:name="_heading=h.cqmb5ijnrzmj" w:colFirst="0" w:colLast="0"/>
      <w:bookmarkEnd w:id="10"/>
      <w:r>
        <w:rPr>
          <w:sz w:val="24"/>
          <w:szCs w:val="24"/>
        </w:rPr>
        <w:t xml:space="preserve">This discussion resulted from previous EAC discussion on the topic - Suspension </w:t>
      </w:r>
      <w:proofErr w:type="gramStart"/>
      <w:r>
        <w:rPr>
          <w:sz w:val="24"/>
          <w:szCs w:val="24"/>
        </w:rPr>
        <w:t>is listed</w:t>
      </w:r>
      <w:proofErr w:type="gramEnd"/>
      <w:r>
        <w:rPr>
          <w:sz w:val="24"/>
          <w:szCs w:val="24"/>
        </w:rPr>
        <w:t xml:space="preserve"> near the dismissal policy, but is a separate topic.  </w:t>
      </w:r>
    </w:p>
    <w:p w14:paraId="0000004E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1" w:name="_heading=h.7s73mjqthv9" w:colFirst="0" w:colLast="0"/>
      <w:bookmarkEnd w:id="11"/>
      <w:r>
        <w:rPr>
          <w:sz w:val="24"/>
          <w:szCs w:val="24"/>
        </w:rPr>
        <w:t>Previous Question: Does suspension lead to dismissal?</w:t>
      </w:r>
    </w:p>
    <w:p w14:paraId="0000004F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2" w:name="_heading=h.3odro5mb6nmy" w:colFirst="0" w:colLast="0"/>
      <w:bookmarkEnd w:id="12"/>
      <w:r>
        <w:rPr>
          <w:sz w:val="24"/>
          <w:szCs w:val="24"/>
        </w:rPr>
        <w:t>Answer: Some schools use a sequence, that sequence does not always play out</w:t>
      </w:r>
    </w:p>
    <w:p w14:paraId="00000050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3" w:name="_heading=h.972xvwh5dset" w:colFirst="0" w:colLast="0"/>
      <w:bookmarkEnd w:id="13"/>
      <w:r>
        <w:rPr>
          <w:sz w:val="24"/>
          <w:szCs w:val="24"/>
        </w:rPr>
        <w:t xml:space="preserve">Only Dismissal wording was </w:t>
      </w:r>
      <w:proofErr w:type="spellStart"/>
      <w:r>
        <w:rPr>
          <w:sz w:val="24"/>
          <w:szCs w:val="24"/>
        </w:rPr>
        <w:t>updated</w:t>
      </w:r>
      <w:proofErr w:type="gramStart"/>
      <w:r>
        <w:rPr>
          <w:sz w:val="24"/>
          <w:szCs w:val="24"/>
        </w:rPr>
        <w:t>,and</w:t>
      </w:r>
      <w:proofErr w:type="spellEnd"/>
      <w:proofErr w:type="gramEnd"/>
      <w:r>
        <w:rPr>
          <w:sz w:val="24"/>
          <w:szCs w:val="24"/>
        </w:rPr>
        <w:t xml:space="preserve"> a new paragraph for the catalog was provided to elaborate more on sequencing of events that lead to dismissal.</w:t>
      </w:r>
    </w:p>
    <w:p w14:paraId="00000051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4" w:name="_heading=h.5720nqcmfmrk" w:colFirst="0" w:colLast="0"/>
      <w:bookmarkEnd w:id="14"/>
      <w:r>
        <w:rPr>
          <w:sz w:val="24"/>
          <w:szCs w:val="24"/>
        </w:rPr>
        <w:t>Question: How to go about havi</w:t>
      </w:r>
      <w:r>
        <w:rPr>
          <w:sz w:val="24"/>
          <w:szCs w:val="24"/>
        </w:rPr>
        <w:t xml:space="preserve">ng related sections that </w:t>
      </w:r>
      <w:proofErr w:type="gramStart"/>
      <w:r>
        <w:rPr>
          <w:sz w:val="24"/>
          <w:szCs w:val="24"/>
        </w:rPr>
        <w:t>are treated</w:t>
      </w:r>
      <w:proofErr w:type="gramEnd"/>
      <w:r>
        <w:rPr>
          <w:sz w:val="24"/>
          <w:szCs w:val="24"/>
        </w:rPr>
        <w:t xml:space="preserve"> like separate policies?</w:t>
      </w:r>
    </w:p>
    <w:p w14:paraId="00000052" w14:textId="77777777" w:rsidR="009C6510" w:rsidRDefault="00844DF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5" w:name="_heading=h.qasob8ipnfb" w:colFirst="0" w:colLast="0"/>
      <w:bookmarkEnd w:id="15"/>
      <w:r>
        <w:rPr>
          <w:sz w:val="24"/>
          <w:szCs w:val="24"/>
        </w:rPr>
        <w:t>Answer: The new policy database will allow the policy to be properly referenced</w:t>
      </w:r>
    </w:p>
    <w:p w14:paraId="00000053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6" w:name="_heading=h.vtfk19u24xof" w:colFirst="0" w:colLast="0"/>
      <w:bookmarkEnd w:id="16"/>
      <w:r>
        <w:rPr>
          <w:sz w:val="24"/>
          <w:szCs w:val="24"/>
        </w:rPr>
        <w:t>Concern: Wording around dismissal falling into other sections like suspension</w:t>
      </w:r>
    </w:p>
    <w:p w14:paraId="00000054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7" w:name="_heading=h.ce0zwdnnfjx" w:colFirst="0" w:colLast="0"/>
      <w:bookmarkEnd w:id="17"/>
      <w:r>
        <w:rPr>
          <w:sz w:val="24"/>
          <w:szCs w:val="24"/>
        </w:rPr>
        <w:lastRenderedPageBreak/>
        <w:t xml:space="preserve">Concern: Making sure that wording is </w:t>
      </w:r>
      <w:r>
        <w:rPr>
          <w:sz w:val="24"/>
          <w:szCs w:val="24"/>
        </w:rPr>
        <w:t xml:space="preserve">not different across similar and/or overlapping policies and that would add confusion, which would take precedent or </w:t>
      </w:r>
      <w:proofErr w:type="gramStart"/>
      <w:r>
        <w:rPr>
          <w:sz w:val="24"/>
          <w:szCs w:val="24"/>
        </w:rPr>
        <w:t>should be referenced</w:t>
      </w:r>
      <w:proofErr w:type="gramEnd"/>
      <w:r>
        <w:rPr>
          <w:sz w:val="24"/>
          <w:szCs w:val="24"/>
        </w:rPr>
        <w:t xml:space="preserve">? </w:t>
      </w:r>
    </w:p>
    <w:p w14:paraId="00000055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8" w:name="_heading=h.oycjsljjldhe" w:colFirst="0" w:colLast="0"/>
      <w:bookmarkEnd w:id="18"/>
      <w:r>
        <w:rPr>
          <w:sz w:val="24"/>
          <w:szCs w:val="24"/>
        </w:rPr>
        <w:t xml:space="preserve">Emphasized: this is intended for the undergraduate catalog </w:t>
      </w:r>
    </w:p>
    <w:p w14:paraId="00000056" w14:textId="77777777" w:rsidR="009C6510" w:rsidRDefault="00844D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19" w:name="_heading=h.mogp6ki4iw3b" w:colFirst="0" w:colLast="0"/>
      <w:bookmarkEnd w:id="19"/>
      <w:r>
        <w:rPr>
          <w:sz w:val="24"/>
          <w:szCs w:val="24"/>
        </w:rPr>
        <w:t>There was a discussion to take a review of the suspensio</w:t>
      </w:r>
      <w:r>
        <w:rPr>
          <w:sz w:val="24"/>
          <w:szCs w:val="24"/>
        </w:rPr>
        <w:t>n and other policies related to dismissals.  There was no formal motion to do so at this time.</w:t>
      </w:r>
    </w:p>
    <w:p w14:paraId="00000057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20" w:name="_heading=h.84wfytc9ciez" w:colFirst="0" w:colLast="0"/>
      <w:bookmarkEnd w:id="20"/>
      <w:r>
        <w:rPr>
          <w:color w:val="000000"/>
          <w:sz w:val="24"/>
          <w:szCs w:val="24"/>
        </w:rPr>
        <w:t xml:space="preserve">The next meeting is scheduled for </w:t>
      </w:r>
      <w:r>
        <w:rPr>
          <w:sz w:val="24"/>
          <w:szCs w:val="24"/>
        </w:rPr>
        <w:t>April  5</w:t>
      </w:r>
      <w:r>
        <w:rPr>
          <w:color w:val="000000"/>
          <w:sz w:val="24"/>
          <w:szCs w:val="24"/>
        </w:rPr>
        <w:t xml:space="preserve">, 2022 at 3:30 pm </w:t>
      </w:r>
    </w:p>
    <w:p w14:paraId="00000058" w14:textId="77777777" w:rsidR="009C6510" w:rsidRDefault="00844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21" w:name="_heading=h.ordxinkko4za" w:colFirst="0" w:colLast="0"/>
      <w:bookmarkEnd w:id="21"/>
      <w:r>
        <w:rPr>
          <w:sz w:val="24"/>
          <w:szCs w:val="24"/>
        </w:rPr>
        <w:t xml:space="preserve">Adjournment </w:t>
      </w:r>
    </w:p>
    <w:p w14:paraId="00000059" w14:textId="77777777" w:rsidR="009C6510" w:rsidRDefault="00844D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bookmarkStart w:id="22" w:name="_heading=h.62za2e13zssn" w:colFirst="0" w:colLast="0"/>
      <w:bookmarkEnd w:id="22"/>
      <w:r>
        <w:rPr>
          <w:sz w:val="24"/>
          <w:szCs w:val="24"/>
        </w:rPr>
        <w:t>MSA</w:t>
      </w:r>
    </w:p>
    <w:p w14:paraId="0000005A" w14:textId="77777777" w:rsidR="009C6510" w:rsidRDefault="00844DFB">
      <w:pPr>
        <w:rPr>
          <w:color w:val="000000"/>
          <w:sz w:val="24"/>
          <w:szCs w:val="24"/>
        </w:rPr>
      </w:pPr>
      <w:r>
        <w:br w:type="page"/>
      </w:r>
    </w:p>
    <w:p w14:paraId="0000005B" w14:textId="77777777" w:rsidR="009C6510" w:rsidRDefault="00844DFB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SCPS Transfer Policy Proposal</w:t>
      </w:r>
    </w:p>
    <w:p w14:paraId="0000005C" w14:textId="77777777" w:rsidR="009C6510" w:rsidRDefault="00844D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SCPS academic advisors work with continuing and professional learners to transfer up to 75 credits from accredited institutions or institutions affiliated with a crediting association. Depending upon the program, students may apply applicable transfer cred</w:t>
      </w:r>
      <w:r>
        <w:rPr>
          <w:rFonts w:ascii="Arial" w:eastAsia="Arial" w:hAnsi="Arial" w:cs="Arial"/>
          <w:color w:val="000000"/>
        </w:rPr>
        <w:t>its to elective and course requirements. Some credits from previous programs may not be applicable for transfer. </w:t>
      </w:r>
    </w:p>
    <w:p w14:paraId="0000005D" w14:textId="77777777" w:rsidR="009C6510" w:rsidRDefault="0084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Transfer credits </w:t>
      </w:r>
      <w:proofErr w:type="gramStart"/>
      <w:r>
        <w:rPr>
          <w:rFonts w:ascii="Arial" w:eastAsia="Arial" w:hAnsi="Arial" w:cs="Arial"/>
          <w:color w:val="000000"/>
        </w:rPr>
        <w:t>may be applied</w:t>
      </w:r>
      <w:proofErr w:type="gramEnd"/>
      <w:r>
        <w:rPr>
          <w:rFonts w:ascii="Arial" w:eastAsia="Arial" w:hAnsi="Arial" w:cs="Arial"/>
          <w:color w:val="000000"/>
        </w:rPr>
        <w:t xml:space="preserve"> to the following areas:</w:t>
      </w:r>
    </w:p>
    <w:p w14:paraId="0000005E" w14:textId="77777777" w:rsidR="009C6510" w:rsidRDefault="009C6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9C6510" w:rsidRDefault="00844DF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General Education</w:t>
      </w:r>
    </w:p>
    <w:p w14:paraId="00000060" w14:textId="77777777" w:rsidR="009C6510" w:rsidRDefault="00844DF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Liberal Arts Electives</w:t>
      </w:r>
    </w:p>
    <w:p w14:paraId="00000061" w14:textId="77777777" w:rsidR="009C6510" w:rsidRDefault="00844DF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Open Electives</w:t>
      </w:r>
    </w:p>
    <w:p w14:paraId="00000062" w14:textId="77777777" w:rsidR="009C6510" w:rsidRDefault="00844DF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Major Core Courses</w:t>
      </w:r>
    </w:p>
    <w:p w14:paraId="00000063" w14:textId="77777777" w:rsidR="009C6510" w:rsidRDefault="009C6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9C6510" w:rsidRDefault="0084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Students may only transfer up to 15 credits towards major core courses. Only courses with a grade of C or better are eligible for transfer. Your academic advisor will complete a course evaluation for you to determine which credits may be applicable for tra</w:t>
      </w:r>
      <w:r>
        <w:rPr>
          <w:rFonts w:ascii="Arial" w:eastAsia="Arial" w:hAnsi="Arial" w:cs="Arial"/>
          <w:color w:val="000000"/>
        </w:rPr>
        <w:t>nsfer. The final determination of acceptable transfer credits is at the discretion of the dean.</w:t>
      </w:r>
    </w:p>
    <w:p w14:paraId="00000065" w14:textId="77777777" w:rsidR="009C6510" w:rsidRDefault="009C6510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</w:rPr>
      </w:pPr>
    </w:p>
    <w:sectPr w:rsidR="009C6510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B2F08"/>
    <w:multiLevelType w:val="multilevel"/>
    <w:tmpl w:val="1D56B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617460"/>
    <w:multiLevelType w:val="multilevel"/>
    <w:tmpl w:val="BDBA19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10"/>
    <w:rsid w:val="00844DFB"/>
    <w:rsid w:val="009C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71AEF0-EC97-4145-A067-4D956DF0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3561"/>
    <w:pPr>
      <w:ind w:left="720"/>
      <w:contextualSpacing/>
    </w:pPr>
  </w:style>
  <w:style w:type="paragraph" w:customStyle="1" w:styleId="Default">
    <w:name w:val="Default"/>
    <w:rsid w:val="000A2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DefaultParagraphFont"/>
    <w:rsid w:val="001D6D29"/>
  </w:style>
  <w:style w:type="character" w:customStyle="1" w:styleId="halyaf">
    <w:name w:val="halyaf"/>
    <w:basedOn w:val="DefaultParagraphFont"/>
    <w:rsid w:val="00146779"/>
  </w:style>
  <w:style w:type="character" w:styleId="Hyperlink">
    <w:name w:val="Hyperlink"/>
    <w:basedOn w:val="DefaultParagraphFont"/>
    <w:uiPriority w:val="99"/>
    <w:unhideWhenUsed/>
    <w:rsid w:val="0014677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D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0D4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B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KfJc9SP0ApiaaMqHwbxf+Q+Csg==">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Schreiner</dc:creator>
  <cp:lastModifiedBy>Windows User</cp:lastModifiedBy>
  <cp:revision>2</cp:revision>
  <dcterms:created xsi:type="dcterms:W3CDTF">2022-03-21T15:54:00Z</dcterms:created>
  <dcterms:modified xsi:type="dcterms:W3CDTF">2022-03-21T15:54:00Z</dcterms:modified>
</cp:coreProperties>
</file>