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O’Malley School of Business </w:t>
      </w:r>
    </w:p>
    <w:p w:rsidR="00000000" w:rsidDel="00000000" w:rsidP="00000000" w:rsidRDefault="00000000" w:rsidRPr="00000000" w14:paraId="00000002">
      <w:pPr>
        <w:spacing w:after="0" w:line="240" w:lineRule="auto"/>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Business Curriculum Committee (BCC)</w:t>
      </w:r>
    </w:p>
    <w:p w:rsidR="00000000" w:rsidDel="00000000" w:rsidP="00000000" w:rsidRDefault="00000000" w:rsidRPr="00000000" w14:paraId="0000000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Wednesday, March 1, 2023</w:t>
      </w:r>
    </w:p>
    <w:p w:rsidR="00000000" w:rsidDel="00000000" w:rsidP="00000000" w:rsidRDefault="00000000" w:rsidRPr="00000000" w14:paraId="0000000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Attendees</w:t>
      </w:r>
    </w:p>
    <w:p w:rsidR="00000000" w:rsidDel="00000000" w:rsidP="00000000" w:rsidRDefault="00000000" w:rsidRPr="00000000" w14:paraId="00000007">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Angela Grotto angela.grotto@manhattan.edu</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Fengyun Wu fengyun.wu@manhattan.edu</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Amanda Sanseverino asanseverino02@manhattan.edu</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Hany Guirguis hany.guirguis@manhattan.edu</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Hyeon Park hyeon.park@manhattan.edu</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e.forti@manhattan.edu</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Donald Gibson dgibson01@manhattan.edu</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Musa Jafar musa.jafar@manhattan.edu</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Mary Michel mary.michel@manhattan.edu</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 Waldman marc.waldman@manhattan.edu</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Alin Tomoiaga alin.tomoiaga@manhattan.edu</w:t>
      </w:r>
    </w:p>
    <w:p w:rsidR="00000000" w:rsidDel="00000000" w:rsidP="00000000" w:rsidRDefault="00000000" w:rsidRPr="00000000" w14:paraId="00000013">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Excused</w:t>
      </w:r>
    </w:p>
    <w:p w:rsidR="00000000" w:rsidDel="00000000" w:rsidP="00000000" w:rsidRDefault="00000000" w:rsidRPr="00000000" w14:paraId="00000015">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Sunaina Shrivastava sshrivastava01@manhattan.edu</w:t>
      </w:r>
    </w:p>
    <w:p w:rsidR="00000000" w:rsidDel="00000000" w:rsidP="00000000" w:rsidRDefault="00000000" w:rsidRPr="00000000" w14:paraId="00000017">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Note Taker(s)</w:t>
      </w: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and Angela Grotto</w:t>
      </w: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MEETING MINUTES</w:t>
      </w:r>
    </w:p>
    <w:p w:rsidR="00000000" w:rsidDel="00000000" w:rsidP="00000000" w:rsidRDefault="00000000" w:rsidRPr="00000000" w14:paraId="0000001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Prof. Angela Grotto called the meeting to order at 2:04 PM</w:t>
      </w:r>
    </w:p>
    <w:p w:rsidR="00000000" w:rsidDel="00000000" w:rsidP="00000000" w:rsidRDefault="00000000" w:rsidRPr="00000000" w14:paraId="0000001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Minutes from February 1, 2023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Reviewed and approved unanimously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Business research project course proposal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Reviewed and approved unanimously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 Waldman introduced the structure and rationale for the initiative, the expected time to market, the courses, and prerequisites. </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and Amanda Sanseverino asked what is the specific intended target for the proposed initiative.</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Angela Grotto asked Marc Waldman to confirm that the registrar is in favor of the 1-credit and 2-credit distribution - Marc Waldman confirmed this.  </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Angela Grotto asked Marc Waldman to confirm that this could be used during the summer sessions too - Marc Waldman confirmed this but noted that the student would have to pay for the summer course.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Amanda Sanseverino asked a question about the distinction between these courses and the traditional independent study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asked whether faculty members that are approached by students that want to informally work on a semester-long or year-long research project have to inform them that they will have to register for this course. Marc Waldman stated that it is up to faculty and students. It’s essentially a smaller version of the 3-credit independent course.</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Danald Gibson commented that these courses help students who may not need a 3-credit course or don’t have room for it </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 Waldman stated that it is up to faculty if they want to do the course with the student</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Musa Jafar asked what if there is more than one student who wants to work on the project - can this be used for that? Marc Waldman said it’s possible.  Danald Gibson - one student could take the 1 credit and the other take the 2 credit version.</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asked if the course could be used to attract students from other schools that may want to develop experience on applied research on business problems (e.g., Engineering). Marc Waldman responded that it's up to the student’s department if they count toward their major or as a free elective. Business faculty are still the ones working with them. Enrico Forti offered to help advertise this.</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 Waldman noted that the course is for undergraduates only.</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Econ minor modification to course requirements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Reviewed and approved unanimously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Angela Grotto and Donald Gibson explained the administrative aspects behind this change.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Business core curriculum review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Planning discussion</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Angela Grotto discussed the opportunity to create a skills map — i.e., for each course list the skills that students get by taking that course. She mentioned guest speaker Dennis </w:t>
      </w:r>
      <w:r w:rsidDel="00000000" w:rsidR="00000000" w:rsidRPr="00000000">
        <w:rPr>
          <w:rFonts w:ascii="Arial" w:cs="Arial" w:eastAsia="Arial" w:hAnsi="Arial"/>
          <w:sz w:val="24"/>
          <w:szCs w:val="24"/>
          <w:rtl w:val="0"/>
        </w:rPr>
        <w:t xml:space="preserve">Eriksson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 stakeholder from industry suggesting to make this change.</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Enrico Forti mentioned the Strategy Area skills map that has been created by faculty teaching MGMT406 (initially for AOL purposes, but can be used also for benchmarking)</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Donald Gibson mentioned skills accreditation is something that students are willing to pay for and love the badges and certificates that they can advertise on LinkedIn.</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Musa Jafar mentioned that students often present certificates issued by Coursera and similar platforms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BUAN blockchain course proposal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Reviewed, sent back to the department with suggestion for further discussion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Alin Tomoiaga introduced the structure and rationale for the initiative, the expected time to market, the courses, and prerequisites (introductory programming courses). Alin noted that the curse will use Python throughout, some of the assignments will have programming components, but the course is not very technical. Hence, the course will also provide an introduction to Python programming. Even someone with basic Python experience would be able to take the course. Udemy classes will be used as filter to test student proficiency upfront in cases where students do not have the required prerequisites.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Musa Jafar commented on the disciplinary focus, potential interdependencies with CS courses, and what programming experience students need to have to take this course. He noted that CIS205 should be a prerequisite. He also noted that in 2023 every student should have deep computational skills.</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Hani Guirguis asked what programming experience students need to have to take this course and what will be the prerequisites. He also asked what is the logic for setting the course at the 400 level rather than 300 level, given the prerequisites. He explained that a broader conversation on prerequisites may be needed to address the lack of preparation of certain students. He finally noted that to effectively advertise the course to prospective students: </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should be clear what are the prerequisites</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important to make students aware about the level of difficulty of the course and the skills required to take it.</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Donald Gibson suggested to use “instructor approval” to solve the cases where students may not have all the prerequisites. He advises the department to think about the 300 level.</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Fengyun Wu asked whether in past editions of the course most students were Business Analytics or CIS majors. If yes, based on the history of the course, the course can be made more, rather than less technical.</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Meeting adjourned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Prof. Angela Grotto adjourned the meeting at 3:15PM</w:t>
      </w:r>
    </w:p>
    <w:sectPr>
      <w:footerReference r:id="rId7" w:type="default"/>
      <w:footerReference r:id="rId8"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60247"/>
    <w:rPr>
      <w:rFonts w:ascii="Calibri" w:cs="Arial"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60247"/>
    <w:pPr>
      <w:ind w:left="720"/>
      <w:contextualSpacing w:val="1"/>
    </w:pPr>
  </w:style>
  <w:style w:type="character" w:styleId="il" w:customStyle="1">
    <w:name w:val="il"/>
    <w:basedOn w:val="DefaultParagraphFont"/>
    <w:rsid w:val="009133D7"/>
  </w:style>
  <w:style w:type="character" w:styleId="Hyperlink">
    <w:name w:val="Hyperlink"/>
    <w:basedOn w:val="DefaultParagraphFont"/>
    <w:uiPriority w:val="99"/>
    <w:unhideWhenUsed w:val="1"/>
    <w:rsid w:val="009133D7"/>
    <w:rPr>
      <w:color w:val="0000ff"/>
      <w:u w:val="single"/>
    </w:rPr>
  </w:style>
  <w:style w:type="character" w:styleId="UnresolvedMention">
    <w:name w:val="Unresolved Mention"/>
    <w:basedOn w:val="DefaultParagraphFont"/>
    <w:uiPriority w:val="99"/>
    <w:semiHidden w:val="1"/>
    <w:unhideWhenUsed w:val="1"/>
    <w:rsid w:val="00970CA1"/>
    <w:rPr>
      <w:color w:val="605e5c"/>
      <w:shd w:color="auto" w:fill="e1dfdd" w:val="clear"/>
    </w:rPr>
  </w:style>
  <w:style w:type="paragraph" w:styleId="Footer">
    <w:name w:val="footer"/>
    <w:basedOn w:val="Normal"/>
    <w:link w:val="FooterChar"/>
    <w:uiPriority w:val="99"/>
    <w:unhideWhenUsed w:val="1"/>
    <w:rsid w:val="003F31D8"/>
    <w:pPr>
      <w:tabs>
        <w:tab w:val="center" w:pos="4680"/>
        <w:tab w:val="right" w:pos="9360"/>
      </w:tabs>
      <w:spacing w:after="0" w:line="240" w:lineRule="auto"/>
    </w:pPr>
  </w:style>
  <w:style w:type="character" w:styleId="FooterChar" w:customStyle="1">
    <w:name w:val="Footer Char"/>
    <w:basedOn w:val="DefaultParagraphFont"/>
    <w:link w:val="Footer"/>
    <w:uiPriority w:val="99"/>
    <w:rsid w:val="003F31D8"/>
    <w:rPr>
      <w:rFonts w:ascii="Calibri" w:cs="Arial" w:eastAsia="Calibri" w:hAnsi="Calibri"/>
    </w:rPr>
  </w:style>
  <w:style w:type="character" w:styleId="PageNumber">
    <w:name w:val="page number"/>
    <w:basedOn w:val="DefaultParagraphFont"/>
    <w:uiPriority w:val="99"/>
    <w:semiHidden w:val="1"/>
    <w:unhideWhenUsed w:val="1"/>
    <w:rsid w:val="003F31D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v8kbCgpUk0o9Y6NKfN2vlKomnQ==">AMUW2mWYBYReaWw86IhDsw/AisPGYMnyPY/hJZfcQuVrxX6KJymY8eVv92GvLq6jrGfejrAOeH9246ux+0c1Up+KioxfnZhBa+h0BTIa8pUtG9RhkXpNkUk=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2023-03-01T19:38:00Z</dcterms:created>
  <dc:creator>Yassir Samra</dc:creator>
</cp:coreProperties>
</file>