
<file path=[Content_Types].xml><?xml version="1.0" encoding="utf-8"?>
<Types xmlns="http://schemas.openxmlformats.org/package/2006/content-types">
  <Default Extension="rels" ContentType="application/vnd.openxmlformats-package.relationships+xml"/>
  <Default Extension="ttf" ContentType="application/x-font-ttf"/>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University Curriculum Committee</w:t>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November 2024 Meeting</w:t>
      </w:r>
    </w:p>
    <w:p w:rsidR="00000000" w:rsidDel="00000000" w:rsidP="00000000" w:rsidRDefault="00000000" w:rsidRPr="00000000" w14:paraId="00000004">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November 19, 2024</w:t>
      </w:r>
    </w:p>
    <w:p w:rsidR="00000000" w:rsidDel="00000000" w:rsidP="00000000" w:rsidRDefault="00000000" w:rsidRPr="00000000" w14:paraId="00000005">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Meeting started at 3:30 pm, Chancellors' Room, Memorial Hall</w:t>
      </w:r>
    </w:p>
    <w:p w:rsidR="00000000" w:rsidDel="00000000" w:rsidP="00000000" w:rsidRDefault="00000000" w:rsidRPr="00000000" w14:paraId="00000006">
      <w:pPr>
        <w:numPr>
          <w:ilvl w:val="0"/>
          <w:numId w:val="8"/>
        </w:numPr>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UCC Members present:  </w:t>
      </w:r>
    </w:p>
    <w:p w:rsidR="00000000" w:rsidDel="00000000" w:rsidP="00000000" w:rsidRDefault="00000000" w:rsidRPr="00000000" w14:paraId="00000007">
      <w:pPr>
        <w:spacing w:after="0" w:line="240" w:lineRule="auto"/>
        <w:ind w:left="36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5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30j0zll" w:id="0"/>
      <w:bookmarkEnd w:id="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O’Malley School of Business (OMSB): Musa Jafar, Fiona Maclachlan, Natalia Boliari</w:t>
      </w:r>
    </w:p>
    <w:p w:rsidR="00000000" w:rsidDel="00000000" w:rsidP="00000000" w:rsidRDefault="00000000" w:rsidRPr="00000000" w14:paraId="0000000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5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School of Engineering: Peyman Honarmandi, Mahmoud Amin, Yi Wang (Secretary)</w:t>
      </w: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5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Kakos School of Arts and Science: Jeff Cherubini, Matthew Jura (Chair), Paul Droubie</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5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numPr>
          <w:ilvl w:val="0"/>
          <w:numId w:val="1"/>
        </w:numPr>
        <w:pBdr>
          <w:top w:space="0" w:sz="0" w:val="nil"/>
          <w:left w:space="0" w:sz="0" w:val="nil"/>
          <w:bottom w:space="0" w:sz="0" w:val="nil"/>
          <w:right w:space="0" w:sz="0" w:val="nil"/>
          <w:between w:space="0" w:sz="0" w:val="nil"/>
        </w:pBdr>
        <w:shd w:fill="ffffff" w:val="clea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Approval of Agenda</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ffffff" w:val="clear"/>
        <w:spacing w:after="0" w:line="240" w:lineRule="auto"/>
        <w:ind w:left="144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Agenda unanimously approved</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ffffff" w:val="clear"/>
        <w:spacing w:after="0" w:line="240" w:lineRule="auto"/>
        <w:ind w:left="144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F">
      <w:pPr>
        <w:numPr>
          <w:ilvl w:val="0"/>
          <w:numId w:val="1"/>
        </w:numPr>
        <w:pBdr>
          <w:top w:space="0" w:sz="0" w:val="nil"/>
          <w:left w:space="0" w:sz="0" w:val="nil"/>
          <w:bottom w:space="0" w:sz="0" w:val="nil"/>
          <w:right w:space="0" w:sz="0" w:val="nil"/>
          <w:between w:space="0" w:sz="0" w:val="nil"/>
        </w:pBdr>
        <w:shd w:fill="ffffff" w:val="clea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Approval of October 2024 Meeting Minutes </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ffffff" w:val="clear"/>
        <w:spacing w:after="0" w:line="240" w:lineRule="auto"/>
        <w:ind w:left="144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Meeting minutes was approved </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ffffff" w:val="clear"/>
        <w:spacing w:after="0" w:line="240" w:lineRule="auto"/>
        <w:ind w:left="144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ffffff" w:val="clea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3">
      <w:pPr>
        <w:numPr>
          <w:ilvl w:val="0"/>
          <w:numId w:val="1"/>
        </w:numPr>
        <w:pBdr>
          <w:top w:space="0" w:sz="0" w:val="nil"/>
          <w:left w:space="0" w:sz="0" w:val="nil"/>
          <w:bottom w:space="0" w:sz="0" w:val="nil"/>
          <w:right w:space="0" w:sz="0" w:val="nil"/>
          <w:between w:space="0" w:sz="0" w:val="nil"/>
        </w:pBdr>
        <w:shd w:fill="ffffff" w:val="clea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Chair’s Report</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ffffff" w:val="clear"/>
        <w:spacing w:after="0" w:line="240" w:lineRule="auto"/>
        <w:ind w:left="72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Update from EAC </w:t>
      </w:r>
    </w:p>
    <w:p w:rsidR="00000000" w:rsidDel="00000000" w:rsidP="00000000" w:rsidRDefault="00000000" w:rsidRPr="00000000" w14:paraId="0000001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Transfer Credits: Starting in Spring 25, MU will accept up to 90 transfer credits from a four-year institution (and 64 from a two-year institution), putting us in line with our peer institutions.</w:t>
      </w:r>
    </w:p>
    <w:p w:rsidR="00000000" w:rsidDel="00000000" w:rsidP="00000000" w:rsidRDefault="00000000" w:rsidRPr="00000000" w14:paraId="0000001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Automatic grade replacement policy. Students will no longer have to petition for grade replacement in certain circumstances.</w:t>
      </w:r>
    </w:p>
    <w:p w:rsidR="00000000" w:rsidDel="00000000" w:rsidP="00000000" w:rsidRDefault="00000000" w:rsidRPr="00000000" w14:paraId="0000001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Block schedule changes have been proposed and the new block schedule will be proposed for Fall 2025</w:t>
      </w:r>
    </w:p>
    <w:p w:rsidR="00000000" w:rsidDel="00000000" w:rsidP="00000000" w:rsidRDefault="00000000" w:rsidRPr="00000000" w14:paraId="0000001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180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Add 75 min block #1, Tuesday and Friday 9:00am – 10:15am</w:t>
      </w:r>
    </w:p>
    <w:p w:rsidR="00000000" w:rsidDel="00000000" w:rsidP="00000000" w:rsidRDefault="00000000" w:rsidRPr="00000000" w14:paraId="0000001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180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Add 75 min block #7, Monday and Thursday, 4:30pm – 5:45pm</w:t>
      </w:r>
    </w:p>
    <w:p w:rsidR="00000000" w:rsidDel="00000000" w:rsidP="00000000" w:rsidRDefault="00000000" w:rsidRPr="00000000" w14:paraId="0000001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180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According to the survey, commuters want to change the block schedule, but the on-campus students want to keep the schedule</w:t>
      </w:r>
    </w:p>
    <w:p w:rsidR="00000000" w:rsidDel="00000000" w:rsidP="00000000" w:rsidRDefault="00000000" w:rsidRPr="00000000" w14:paraId="000000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a faculty cannot come to the class due to weather conditions, faculty members need to notify the department chair to make arrangements, to </w:t>
      </w:r>
      <w:r w:rsidDel="00000000" w:rsidR="00000000" w:rsidRPr="00000000">
        <w:rPr>
          <w:rFonts w:ascii="Times New Roman" w:cs="Times New Roman" w:eastAsia="Times New Roman" w:hAnsi="Times New Roman"/>
          <w:sz w:val="24"/>
          <w:szCs w:val="24"/>
          <w:rtl w:val="0"/>
        </w:rPr>
        <w:t xml:space="preserve">ensure that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courses meet their credit hour requirements as per New York State Law and the University’s accreditation obligations.</w:t>
      </w:r>
    </w:p>
    <w:p w:rsidR="00000000" w:rsidDel="00000000" w:rsidP="00000000" w:rsidRDefault="00000000" w:rsidRPr="00000000" w14:paraId="0000001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proposed modification to the summer schedule involves starting summer sessions later to provide additional transition days between the Spring and Summer semesters. </w:t>
      </w:r>
    </w:p>
    <w:p w:rsidR="00000000" w:rsidDel="00000000" w:rsidP="00000000" w:rsidRDefault="00000000" w:rsidRPr="00000000" w14:paraId="0000001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Revised academic integrity record keeping: The language around record-keeping for warning level academic integrity violations will be changed to reflect that warnings will not be reported to outside agencies (i.e., graduate schools). </w:t>
      </w:r>
    </w:p>
    <w:p w:rsidR="00000000" w:rsidDel="00000000" w:rsidP="00000000" w:rsidRDefault="00000000" w:rsidRPr="00000000" w14:paraId="0000001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has been suggested that Deans and Chairs be granted access to Moodle courses to obtain materials such as syllabi. Discussions have taken place regarding the extent of Moodle access for administrators. It is recommended to consult the EAC representative of their school for further guidance.</w:t>
      </w:r>
    </w:p>
    <w:p w:rsidR="00000000" w:rsidDel="00000000" w:rsidP="00000000" w:rsidRDefault="00000000" w:rsidRPr="00000000" w14:paraId="0000001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Labelling online courses in </w:t>
      </w:r>
      <w:r w:rsidDel="00000000" w:rsidR="00000000" w:rsidRPr="00000000">
        <w:rPr>
          <w:rFonts w:ascii="Times New Roman" w:cs="Times New Roman" w:eastAsia="Times New Roman" w:hAnsi="Times New Roman"/>
          <w:sz w:val="24"/>
          <w:szCs w:val="24"/>
          <w:rtl w:val="0"/>
        </w:rPr>
        <w:t xml:space="preserve">B</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anner. There are four different online courses: online asynchronous course, online synchronous course, hybrid course and dual course. </w:t>
      </w:r>
    </w:p>
    <w:p w:rsidR="00000000" w:rsidDel="00000000" w:rsidP="00000000" w:rsidRDefault="00000000" w:rsidRPr="00000000" w14:paraId="0000002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There was a discussion regarding a university-wide policy for accepting AP scores. It was proposed that AP exam scores of 4 or 5 should be considered for credit. Further discussions on this policy will take place during the next EAC meeting.</w:t>
      </w:r>
    </w:p>
    <w:p w:rsidR="00000000" w:rsidDel="00000000" w:rsidP="00000000" w:rsidRDefault="00000000" w:rsidRPr="00000000" w14:paraId="0000002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There is currently no uniform policy regarding double majors or the allowance of double-counting courses toward both majors. </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08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numPr>
          <w:ilvl w:val="0"/>
          <w:numId w:val="1"/>
        </w:numPr>
        <w:pBdr>
          <w:top w:space="0" w:sz="0" w:val="nil"/>
          <w:left w:space="0" w:sz="0" w:val="nil"/>
          <w:bottom w:space="0" w:sz="0" w:val="nil"/>
          <w:right w:space="0" w:sz="0" w:val="nil"/>
          <w:between w:space="0" w:sz="0" w:val="nil"/>
        </w:pBdr>
        <w:shd w:fill="ffffff" w:val="clea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Course Duplication Issues</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ffffff" w:val="clea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Math department Prof. Helene Tyler, Prof. Lawrence Udeigwe, Prof. Joan Harnett attended the UCC meeting. </w:t>
      </w:r>
    </w:p>
    <w:p w:rsidR="00000000" w:rsidDel="00000000" w:rsidP="00000000" w:rsidRDefault="00000000" w:rsidRPr="00000000" w14:paraId="0000002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Mechanical department chair Prof. Parisa Saboori joined the meeting remotely. </w:t>
      </w:r>
    </w:p>
    <w:p w:rsidR="00000000" w:rsidDel="00000000" w:rsidP="00000000" w:rsidRDefault="00000000" w:rsidRPr="00000000" w14:paraId="0000002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Electrical and computer engineering department, Prof. George Giakos attended the UCC meeting. </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ffffff" w:val="clea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numPr>
          <w:ilvl w:val="2"/>
          <w:numId w:val="5"/>
        </w:numPr>
        <w:ind w:left="630" w:firstLine="27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Mechanical Engineering / Mathematics (3:45pm)</w:t>
      </w:r>
    </w:p>
    <w:p w:rsidR="00000000" w:rsidDel="00000000" w:rsidP="00000000" w:rsidRDefault="00000000" w:rsidRPr="00000000" w14:paraId="0000002A">
      <w:pPr>
        <w:numPr>
          <w:ilvl w:val="3"/>
          <w:numId w:val="7"/>
        </w:numPr>
        <w:ind w:left="135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MECH 438 (Operation Research) vs. MATH 455 (Operations Research - see MATG 555 syllabus)</w:t>
      </w:r>
    </w:p>
    <w:p w:rsidR="00000000" w:rsidDel="00000000" w:rsidP="00000000" w:rsidRDefault="00000000" w:rsidRPr="00000000" w14:paraId="0000002B">
      <w:pPr>
        <w:numPr>
          <w:ilvl w:val="3"/>
          <w:numId w:val="7"/>
        </w:numPr>
        <w:ind w:left="135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MECH 442 (Artificial Intelligence Applications in Mechanical Engineering) &amp; MECH 475 (Data Driven Problem Solving in Mechanical Engineering) vs. MATH 457 (Machine Learning - see MATG 557 syllabus)</w:t>
      </w:r>
    </w:p>
    <w:p w:rsidR="00000000" w:rsidDel="00000000" w:rsidP="00000000" w:rsidRDefault="00000000" w:rsidRPr="00000000" w14:paraId="0000002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math department mentioned the history of MATH457 course. This course was developed by Prof. Mark Debonis, who is no longer with the university. The course focused on the fundamentals of machine learning and statistics, followed by practical applications. It was designed to train applied mathematicians and also serve engineering students who utilized machine learning theory in their work. Engineering students taking the course were allowed to select project topics based on their familiar engineering applications. Additionally, mechanical engineering students previously enrolled in MATH457 but have since stopped doing so without prior consultation with the Mechanical Engineering Department. In addition, the Math department proposed potential compromises solutions, one such proposal is to merge the duplicated courses and make them cross-listed, ensuring both departments benefit from shared resources and expertise. The other proposal is to put MATH457 as the prerequisite of the affected duplicated courses MECH 442 and/or MECH 475. Additionally, the courses were updated for engineering curriculum for ABET accreditation requirements.  </w:t>
      </w:r>
    </w:p>
    <w:p w:rsidR="00000000" w:rsidDel="00000000" w:rsidP="00000000" w:rsidRDefault="00000000" w:rsidRPr="00000000" w14:paraId="0000002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mechanical department stated that 400 level mechanical courses should be taught by mechanical professors who are experts in that field. They also noted that artificial intelligence (AI) has increasingly been applied within the mechanical engineering discipline. Given the diversity of AI tracks, the department stressed that each track should be taught by subject matter experts.  The Mechanical department will bring faculty who teach the potentially duplicated courses during the next discussion with the Math department, to go to details of the topics of these courses. They will investigate the syllabus and add all the mechanical applications in the syllabus.</w:t>
      </w:r>
    </w:p>
    <w:p w:rsidR="00000000" w:rsidDel="00000000" w:rsidP="00000000" w:rsidRDefault="00000000" w:rsidRPr="00000000" w14:paraId="0000002E">
      <w:pPr>
        <w:numPr>
          <w:ilvl w:val="2"/>
          <w:numId w:val="5"/>
        </w:numPr>
        <w:ind w:left="630" w:firstLine="27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Electrical and Computer Engineering / Mathematics</w:t>
      </w:r>
    </w:p>
    <w:p w:rsidR="00000000" w:rsidDel="00000000" w:rsidP="00000000" w:rsidRDefault="00000000" w:rsidRPr="00000000" w14:paraId="0000002F">
      <w:pPr>
        <w:numPr>
          <w:ilvl w:val="3"/>
          <w:numId w:val="7"/>
        </w:numPr>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EECE 315/316 (Probability and Statistics for Engineers) - MATH 336 (Applied Statistics)</w:t>
      </w:r>
    </w:p>
    <w:p w:rsidR="00000000" w:rsidDel="00000000" w:rsidP="00000000" w:rsidRDefault="00000000" w:rsidRPr="00000000" w14:paraId="00000030">
      <w:pPr>
        <w:numPr>
          <w:ilvl w:val="3"/>
          <w:numId w:val="7"/>
        </w:numPr>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Note: EECE 307 has been removed as a requirement for majors in EECE in this year’s catalog, but still exists in the course listing</w:t>
      </w:r>
    </w:p>
    <w:p w:rsidR="00000000" w:rsidDel="00000000" w:rsidP="00000000" w:rsidRDefault="00000000" w:rsidRPr="00000000" w14:paraId="0000003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math department mentioned that they waited a long time to receive the updated syllabus from the Electrical and computer engineering department. The provided syllabus on EECE315 covers the basic statistical knowledge. The MATH 336 course is not theoretical probability and statistic course but was updated to applied statistics for engineering students. Chemical engineering and mechanical engineering used to take math department’s probability courses as well. </w:t>
      </w:r>
    </w:p>
    <w:p w:rsidR="00000000" w:rsidDel="00000000" w:rsidP="00000000" w:rsidRDefault="00000000" w:rsidRPr="00000000" w14:paraId="00000032">
      <w:pPr>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The Electrical and Computer Engineering Department provided a document detailing the engineering applications covered in EECE315. This course focuses on the phenomenology and practical application of engineering processes. Over the past 15 years, EECE315 has been taught within the ECE Department and adapted to address specific electrical and computer engineering applications, such as communications, quantum computing, and statistical circuit analysis. The target audiences for the courses differ, with EECE315 catering to engineering students.</w:t>
      </w:r>
      <w:r w:rsidDel="00000000" w:rsidR="00000000" w:rsidRPr="00000000">
        <w:rPr>
          <w:rtl w:val="0"/>
        </w:rPr>
      </w:r>
    </w:p>
    <w:p w:rsidR="00000000" w:rsidDel="00000000" w:rsidP="00000000" w:rsidRDefault="00000000" w:rsidRPr="00000000" w14:paraId="00000033">
      <w:pPr>
        <w:numPr>
          <w:ilvl w:val="2"/>
          <w:numId w:val="5"/>
        </w:numPr>
        <w:ind w:left="630" w:firstLine="27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Discussions and next steps</w:t>
      </w:r>
    </w:p>
    <w:p w:rsidR="00000000" w:rsidDel="00000000" w:rsidP="00000000" w:rsidRDefault="00000000" w:rsidRPr="00000000" w14:paraId="0000003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Some discussions have been among the UCC members. It is suggested that affected departments should meet again to solve the duplicated courses issues, by inviting the faculty members who teach these courses to join the meeting. </w:t>
      </w:r>
    </w:p>
    <w:p w:rsidR="00000000" w:rsidDel="00000000" w:rsidP="00000000" w:rsidRDefault="00000000" w:rsidRPr="00000000" w14:paraId="0000003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the issues cannot be resolved among the affected departments, the UCC members will address the matter by investigating the history of the potentially duplicated courses. This investigation will include reviewing the timeline of when and why each course was introduced and, when and why the courses were removed from the curriculum of the affected departments. This aims to clarify the origins and evolution of the courses to help resolve the issue. </w:t>
      </w:r>
    </w:p>
    <w:p w:rsidR="00000000" w:rsidDel="00000000" w:rsidP="00000000" w:rsidRDefault="00000000" w:rsidRPr="00000000" w14:paraId="00000036">
      <w:pPr>
        <w:numPr>
          <w:ilvl w:val="0"/>
          <w:numId w:val="1"/>
        </w:numPr>
        <w:pBdr>
          <w:top w:space="0" w:sz="0" w:val="nil"/>
          <w:left w:space="0" w:sz="0" w:val="nil"/>
          <w:bottom w:space="0" w:sz="0" w:val="nil"/>
          <w:right w:space="0" w:sz="0" w:val="nil"/>
          <w:between w:space="0" w:sz="0" w:val="nil"/>
        </w:pBdr>
        <w:shd w:fill="ffffff" w:val="clear"/>
        <w:spacing w:after="0" w:line="240" w:lineRule="auto"/>
        <w:ind w:left="27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CMPT: Cybersecurity Concentration proposal (4:35pm)</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ffffff" w:val="clea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ffffff" w:val="clea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Professor Igor Aizenberg, Chair of the Computer Science Department, joined the meeting remotely to present the rationale for the proposed cybersecurity concentration. He explained that the courses included in the concentration—CMPT368 Blockchain and Cryptocurrency Technologies, CMPT370 Web Security, and CMPT448 Cryptography and Security—are all existing courses that have been offered for some time. The proposal has also received support from the Dean of the Kakos School of Arts and Sciences.</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ffffff" w:val="clea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ffffff" w:val="clea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Questions were raised about whether CMPT368 Blockchain and Cryptocurrency Technologies potentially overlaps with a blockchain course offered by the O’Malley School of Business. However, UCC representatives from the Business School clarified that the courses differ in content, as their blockchain course focuses on teaching a distinct set of tools.</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ffffff" w:val="clea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ffffff" w:val="clea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proposal was unanimously approved by all the UCC members.</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ffffff" w:val="clea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meeting adjourned at 5:10 pm.</w:t>
      </w:r>
    </w:p>
    <w:p w:rsidR="00000000" w:rsidDel="00000000" w:rsidP="00000000" w:rsidRDefault="00000000" w:rsidRPr="00000000" w14:paraId="00000040">
      <w:pPr>
        <w:rPr>
          <w:rFonts w:ascii="Times New Roman" w:cs="Times New Roman" w:eastAsia="Times New Roman" w:hAnsi="Times New Roman"/>
          <w:sz w:val="24"/>
          <w:szCs w:val="24"/>
        </w:rPr>
      </w:pPr>
      <w:bookmarkStart w:colFirst="0" w:colLast="0" w:name="_heading=h.gjdgxs" w:id="1"/>
      <w:bookmarkEnd w:id="1"/>
      <w:r w:rsidDel="00000000" w:rsidR="00000000" w:rsidRPr="00000000">
        <w:rPr>
          <w:rFonts w:ascii="Times New Roman" w:cs="Times New Roman" w:eastAsia="Times New Roman" w:hAnsi="Times New Roman"/>
          <w:sz w:val="24"/>
          <w:szCs w:val="24"/>
          <w:rtl w:val="0"/>
        </w:rPr>
        <w:t xml:space="preserve">Minutes submitted by Yi Wang, Electrical and Computer Engineering</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1"/>
      <w:numFmt w:val="bullet"/>
      <w:lvlText w:val="●"/>
      <w:lvlJc w:val="left"/>
      <w:pPr>
        <w:ind w:left="1260" w:hanging="360"/>
      </w:pPr>
      <w:rPr>
        <w:rFonts w:ascii="Noto Sans Symbols" w:cs="Noto Sans Symbols" w:eastAsia="Noto Sans Symbols" w:hAnsi="Noto Sans Symbols"/>
      </w:rPr>
    </w:lvl>
    <w:lvl w:ilvl="1">
      <w:start w:val="1"/>
      <w:numFmt w:val="bullet"/>
      <w:lvlText w:val="o"/>
      <w:lvlJc w:val="left"/>
      <w:pPr>
        <w:ind w:left="1980" w:hanging="360"/>
      </w:pPr>
      <w:rPr>
        <w:rFonts w:ascii="Courier New" w:cs="Courier New" w:eastAsia="Courier New" w:hAnsi="Courier New"/>
      </w:rPr>
    </w:lvl>
    <w:lvl w:ilvl="2">
      <w:start w:val="1"/>
      <w:numFmt w:val="bullet"/>
      <w:lvlText w:val="▪"/>
      <w:lvlJc w:val="left"/>
      <w:pPr>
        <w:ind w:left="2700" w:hanging="360"/>
      </w:pPr>
      <w:rPr>
        <w:rFonts w:ascii="Noto Sans Symbols" w:cs="Noto Sans Symbols" w:eastAsia="Noto Sans Symbols" w:hAnsi="Noto Sans Symbols"/>
      </w:rPr>
    </w:lvl>
    <w:lvl w:ilvl="3">
      <w:start w:val="1"/>
      <w:numFmt w:val="bullet"/>
      <w:lvlText w:val="●"/>
      <w:lvlJc w:val="left"/>
      <w:pPr>
        <w:ind w:left="3420" w:hanging="360"/>
      </w:pPr>
      <w:rPr>
        <w:rFonts w:ascii="Noto Sans Symbols" w:cs="Noto Sans Symbols" w:eastAsia="Noto Sans Symbols" w:hAnsi="Noto Sans Symbols"/>
      </w:rPr>
    </w:lvl>
    <w:lvl w:ilvl="4">
      <w:start w:val="1"/>
      <w:numFmt w:val="bullet"/>
      <w:lvlText w:val="o"/>
      <w:lvlJc w:val="left"/>
      <w:pPr>
        <w:ind w:left="4140" w:hanging="360"/>
      </w:pPr>
      <w:rPr>
        <w:rFonts w:ascii="Courier New" w:cs="Courier New" w:eastAsia="Courier New" w:hAnsi="Courier New"/>
      </w:rPr>
    </w:lvl>
    <w:lvl w:ilvl="5">
      <w:start w:val="1"/>
      <w:numFmt w:val="bullet"/>
      <w:lvlText w:val="▪"/>
      <w:lvlJc w:val="left"/>
      <w:pPr>
        <w:ind w:left="4860" w:hanging="360"/>
      </w:pPr>
      <w:rPr>
        <w:rFonts w:ascii="Noto Sans Symbols" w:cs="Noto Sans Symbols" w:eastAsia="Noto Sans Symbols" w:hAnsi="Noto Sans Symbols"/>
      </w:rPr>
    </w:lvl>
    <w:lvl w:ilvl="6">
      <w:start w:val="1"/>
      <w:numFmt w:val="bullet"/>
      <w:lvlText w:val="●"/>
      <w:lvlJc w:val="left"/>
      <w:pPr>
        <w:ind w:left="5580" w:hanging="360"/>
      </w:pPr>
      <w:rPr>
        <w:rFonts w:ascii="Noto Sans Symbols" w:cs="Noto Sans Symbols" w:eastAsia="Noto Sans Symbols" w:hAnsi="Noto Sans Symbols"/>
      </w:rPr>
    </w:lvl>
    <w:lvl w:ilvl="7">
      <w:start w:val="1"/>
      <w:numFmt w:val="bullet"/>
      <w:lvlText w:val="o"/>
      <w:lvlJc w:val="left"/>
      <w:pPr>
        <w:ind w:left="6300" w:hanging="360"/>
      </w:pPr>
      <w:rPr>
        <w:rFonts w:ascii="Courier New" w:cs="Courier New" w:eastAsia="Courier New" w:hAnsi="Courier New"/>
      </w:rPr>
    </w:lvl>
    <w:lvl w:ilvl="8">
      <w:start w:val="1"/>
      <w:numFmt w:val="bullet"/>
      <w:lvlText w:val="▪"/>
      <w:lvlJc w:val="left"/>
      <w:pPr>
        <w:ind w:left="7020" w:hanging="360"/>
      </w:pPr>
      <w:rPr>
        <w:rFonts w:ascii="Noto Sans Symbols" w:cs="Noto Sans Symbols" w:eastAsia="Noto Sans Symbols" w:hAnsi="Noto Sans Symbols"/>
      </w:rPr>
    </w:lvl>
  </w:abstractNum>
  <w:abstractNum w:abstractNumId="3">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4">
    <w:lvl w:ilvl="0">
      <w:start w:val="1"/>
      <w:numFmt w:val="lowerLetter"/>
      <w:lvlText w:val="%1)"/>
      <w:lvlJc w:val="left"/>
      <w:pPr>
        <w:ind w:left="1800" w:hanging="360"/>
      </w:pPr>
      <w:rPr/>
    </w:lvl>
    <w:lvl w:ilvl="1">
      <w:start w:val="1"/>
      <w:numFmt w:val="lowerLetter"/>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5">
    <w:lvl w:ilvl="0">
      <w:start w:val="1"/>
      <w:numFmt w:val="decimal"/>
      <w:lvlText w:val="%1."/>
      <w:lvlJc w:val="left"/>
      <w:pPr>
        <w:ind w:left="720" w:hanging="360"/>
      </w:pPr>
      <w:rPr/>
    </w:lvl>
    <w:lvl w:ilvl="1">
      <w:start w:val="1"/>
      <w:numFmt w:val="decimal"/>
      <w:lvlText w:val="%2."/>
      <w:lvlJc w:val="left"/>
      <w:pPr>
        <w:ind w:left="1440" w:hanging="360"/>
      </w:pPr>
      <w:rPr/>
    </w:lvl>
    <w:lvl w:ilvl="2">
      <w:start w:val="0"/>
      <w:numFmt w:val="lowerRoman"/>
      <w:lvlText w:val="%3."/>
      <w:lvlJc w:val="righ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8">
    <w:lvl w:ilvl="0">
      <w:start w:val="1"/>
      <w:numFmt w:val="bullet"/>
      <w:lvlText w:val="o"/>
      <w:lvlJc w:val="left"/>
      <w:pPr>
        <w:ind w:left="2160" w:hanging="360"/>
      </w:pPr>
      <w:rPr>
        <w:rFonts w:ascii="Courier New" w:cs="Courier New" w:eastAsia="Courier New" w:hAnsi="Courier New"/>
      </w:rPr>
    </w:lvl>
    <w:lvl w:ilvl="1">
      <w:start w:val="1"/>
      <w:numFmt w:val="bullet"/>
      <w:lvlText w:val="●"/>
      <w:lvlJc w:val="left"/>
      <w:pPr>
        <w:ind w:left="2880" w:hanging="360"/>
      </w:pPr>
      <w:rPr>
        <w:rFonts w:ascii="Noto Sans Symbols" w:cs="Noto Sans Symbols" w:eastAsia="Noto Sans Symbols" w:hAnsi="Noto Sans Symbols"/>
      </w:rPr>
    </w:lvl>
    <w:lvl w:ilvl="2">
      <w:start w:val="1"/>
      <w:numFmt w:val="bullet"/>
      <w:lvlText w:val="▪"/>
      <w:lvlJc w:val="left"/>
      <w:pPr>
        <w:ind w:left="3600" w:hanging="360"/>
      </w:pPr>
      <w:rPr>
        <w:rFonts w:ascii="Noto Sans Symbols" w:cs="Noto Sans Symbols" w:eastAsia="Noto Sans Symbols" w:hAnsi="Noto Sans Symbols"/>
      </w:rPr>
    </w:lvl>
    <w:lvl w:ilvl="3">
      <w:start w:val="1"/>
      <w:numFmt w:val="bullet"/>
      <w:lvlText w:val="●"/>
      <w:lvlJc w:val="left"/>
      <w:pPr>
        <w:ind w:left="4320" w:hanging="360"/>
      </w:pPr>
      <w:rPr>
        <w:rFonts w:ascii="Noto Sans Symbols" w:cs="Noto Sans Symbols" w:eastAsia="Noto Sans Symbols" w:hAnsi="Noto Sans Symbols"/>
      </w:rPr>
    </w:lvl>
    <w:lvl w:ilvl="4">
      <w:start w:val="1"/>
      <w:numFmt w:val="bullet"/>
      <w:lvlText w:val="o"/>
      <w:lvlJc w:val="left"/>
      <w:pPr>
        <w:ind w:left="5040" w:hanging="360"/>
      </w:pPr>
      <w:rPr>
        <w:rFonts w:ascii="Courier New" w:cs="Courier New" w:eastAsia="Courier New" w:hAnsi="Courier New"/>
      </w:rPr>
    </w:lvl>
    <w:lvl w:ilvl="5">
      <w:start w:val="1"/>
      <w:numFmt w:val="bullet"/>
      <w:lvlText w:val="▪"/>
      <w:lvlJc w:val="left"/>
      <w:pPr>
        <w:ind w:left="5760" w:hanging="360"/>
      </w:pPr>
      <w:rPr>
        <w:rFonts w:ascii="Noto Sans Symbols" w:cs="Noto Sans Symbols" w:eastAsia="Noto Sans Symbols" w:hAnsi="Noto Sans Symbols"/>
      </w:rPr>
    </w:lvl>
    <w:lvl w:ilvl="6">
      <w:start w:val="1"/>
      <w:numFmt w:val="bullet"/>
      <w:lvlText w:val="●"/>
      <w:lvlJc w:val="left"/>
      <w:pPr>
        <w:ind w:left="6480" w:hanging="360"/>
      </w:pPr>
      <w:rPr>
        <w:rFonts w:ascii="Noto Sans Symbols" w:cs="Noto Sans Symbols" w:eastAsia="Noto Sans Symbols" w:hAnsi="Noto Sans Symbols"/>
      </w:rPr>
    </w:lvl>
    <w:lvl w:ilvl="7">
      <w:start w:val="1"/>
      <w:numFmt w:val="bullet"/>
      <w:lvlText w:val="o"/>
      <w:lvlJc w:val="left"/>
      <w:pPr>
        <w:ind w:left="7200" w:hanging="360"/>
      </w:pPr>
      <w:rPr>
        <w:rFonts w:ascii="Courier New" w:cs="Courier New" w:eastAsia="Courier New" w:hAnsi="Courier New"/>
      </w:rPr>
    </w:lvl>
    <w:lvl w:ilvl="8">
      <w:start w:val="1"/>
      <w:numFmt w:val="bullet"/>
      <w:lvlText w:val="▪"/>
      <w:lvlJc w:val="left"/>
      <w:pPr>
        <w:ind w:left="792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ListParagraph">
    <w:name w:val="List Paragraph"/>
    <w:basedOn w:val="Normal"/>
    <w:uiPriority w:val="34"/>
    <w:qFormat w:val="1"/>
    <w:rsid w:val="007A153F"/>
    <w:pPr>
      <w:ind w:left="720"/>
      <w:contextualSpacing w:val="1"/>
    </w:pPr>
  </w:style>
  <w:style w:type="paragraph" w:styleId="NormalWeb">
    <w:name w:val="Normal (Web)"/>
    <w:basedOn w:val="Normal"/>
    <w:uiPriority w:val="99"/>
    <w:unhideWhenUsed w:val="1"/>
    <w:rsid w:val="00CC2F29"/>
    <w:pPr>
      <w:spacing w:after="100" w:afterAutospacing="1" w:before="100" w:beforeAutospacing="1" w:line="240" w:lineRule="auto"/>
    </w:pPr>
    <w:rPr>
      <w:rFonts w:ascii="Times New Roman" w:cs="Times New Roman" w:eastAsia="Times New Roman" w:hAnsi="Times New Roman"/>
      <w:sz w:val="24"/>
      <w:szCs w:val="24"/>
    </w:rPr>
  </w:style>
  <w:style w:type="character" w:styleId="Hyperlink">
    <w:name w:val="Hyperlink"/>
    <w:basedOn w:val="DefaultParagraphFont"/>
    <w:uiPriority w:val="99"/>
    <w:unhideWhenUsed w:val="1"/>
    <w:rsid w:val="001A3EDE"/>
    <w:rPr>
      <w:color w:val="0563c1" w:themeColor="hyperlink"/>
      <w:u w:val="single"/>
    </w:rPr>
  </w:style>
  <w:style w:type="character" w:styleId="UnresolvedMention">
    <w:name w:val="Unresolved Mention"/>
    <w:basedOn w:val="DefaultParagraphFont"/>
    <w:uiPriority w:val="99"/>
    <w:semiHidden w:val="1"/>
    <w:unhideWhenUsed w:val="1"/>
    <w:rsid w:val="001A3EDE"/>
    <w:rPr>
      <w:color w:val="605e5c"/>
      <w:shd w:color="auto" w:fill="e1dfdd" w:val="clear"/>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Header">
    <w:name w:val="header"/>
    <w:basedOn w:val="Normal"/>
    <w:link w:val="HeaderChar"/>
    <w:uiPriority w:val="99"/>
    <w:unhideWhenUsed w:val="1"/>
    <w:rsid w:val="005F0072"/>
    <w:pPr>
      <w:tabs>
        <w:tab w:val="center" w:pos="4320"/>
        <w:tab w:val="right" w:pos="8640"/>
      </w:tabs>
      <w:spacing w:after="0" w:line="240" w:lineRule="auto"/>
    </w:pPr>
  </w:style>
  <w:style w:type="character" w:styleId="HeaderChar" w:customStyle="1">
    <w:name w:val="Header Char"/>
    <w:basedOn w:val="DefaultParagraphFont"/>
    <w:link w:val="Header"/>
    <w:uiPriority w:val="99"/>
    <w:rsid w:val="005F0072"/>
  </w:style>
  <w:style w:type="paragraph" w:styleId="Footer">
    <w:name w:val="footer"/>
    <w:basedOn w:val="Normal"/>
    <w:link w:val="FooterChar"/>
    <w:uiPriority w:val="99"/>
    <w:unhideWhenUsed w:val="1"/>
    <w:rsid w:val="005F0072"/>
    <w:pPr>
      <w:tabs>
        <w:tab w:val="center" w:pos="4320"/>
        <w:tab w:val="right" w:pos="8640"/>
      </w:tabs>
      <w:spacing w:after="0" w:line="240" w:lineRule="auto"/>
    </w:pPr>
  </w:style>
  <w:style w:type="character" w:styleId="FooterChar" w:customStyle="1">
    <w:name w:val="Footer Char"/>
    <w:basedOn w:val="DefaultParagraphFont"/>
    <w:link w:val="Footer"/>
    <w:uiPriority w:val="99"/>
    <w:rsid w:val="005F0072"/>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fontTable" Target="fontTable.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5" Type="http://schemas.openxmlformats.org/officeDocument/2006/relationships/styles" Target="styles.xml"/><Relationship Id="rId10" Type="http://schemas.openxmlformats.org/officeDocument/2006/relationships/customXml" Target="../customXML/item5.xml"/><Relationship Id="rId4" Type="http://schemas.openxmlformats.org/officeDocument/2006/relationships/numbering" Target="numbering.xml"/><Relationship Id="rId9" Type="http://schemas.openxmlformats.org/officeDocument/2006/relationships/customXml" Target="../customXML/item4.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qzbZTXxY3VfxRXc1p4beDaNkbQ==">CgMxLjAyCWguMzBqMHpsbDIIaC5namRneHM4AHIhMU81Mi1Ocm1oekEzNWJQQ2Q5bDZQcmZSc01XQkd6ZDhj</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B5CB12306CCC974ABBDB0AFE320FA079" ma:contentTypeVersion="4" ma:contentTypeDescription="Create a new document." ma:contentTypeScope="" ma:versionID="3ef1053877d5150109f1245564b42364">
  <xsd:schema xmlns:xsd="http://www.w3.org/2001/XMLSchema" xmlns:xs="http://www.w3.org/2001/XMLSchema" xmlns:p="http://schemas.microsoft.com/office/2006/metadata/properties" xmlns:ns2="e63386ef-c298-4084-99c2-bc5d645a86dc" xmlns:ns3="079a9912-f804-4af9-b6f2-96f9cea111be" targetNamespace="http://schemas.microsoft.com/office/2006/metadata/properties" ma:root="true" ma:fieldsID="e28697e9e23a4054fa00729e9e93ccb5" ns2:_="" ns3:_="">
    <xsd:import namespace="e63386ef-c298-4084-99c2-bc5d645a86dc"/>
    <xsd:import namespace="079a9912-f804-4af9-b6f2-96f9cea111be"/>
    <xsd:element name="properties">
      <xsd:complexType>
        <xsd:sequence>
          <xsd:element name="documentManagement">
            <xsd:complexType>
              <xsd:all>
                <xsd:element ref="ns2:_dlc_DocId" minOccurs="0"/>
                <xsd:element ref="ns2:_dlc_DocIdUrl" minOccurs="0"/>
                <xsd:element ref="ns2:_dlc_DocIdPersistId" minOccurs="0"/>
                <xsd:element ref="ns2:MigrationSource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3386ef-c298-4084-99c2-bc5d645a86d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igrationSourceID" ma:index="11" nillable="true" ma:displayName="MigrationSourceID" ma:internalName="MigrationSource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9a9912-f804-4af9-b6f2-96f9cea111be"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MigrationSourceID xmlns="e63386ef-c298-4084-99c2-bc5d645a86dc">1O52-NrmhzA35bPCd9l6PrfRsMWBGzd8c</MigrationSourceID>
    <_dlc_DocId xmlns="e63386ef-c298-4084-99c2-bc5d645a86dc">XT7PK7T3MU4J-1626957360-825</_dlc_DocId>
    <_dlc_DocIdUrl xmlns="e63386ef-c298-4084-99c2-bc5d645a86dc">
      <Url>https://manhattan0.sharepoint.com/sites/UniversityCurriculumCommittee/_layouts/15/DocIdRedir.aspx?ID=XT7PK7T3MU4J-1626957360-825</Url>
      <Description>XT7PK7T3MU4J-1626957360-825</Description>
    </_dlc_DocIdUrl>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1AB507DF-A609-4C81-B0C2-901839CBBAA9}"/>
</file>

<file path=customXML/itemProps3.xml><?xml version="1.0" encoding="utf-8"?>
<ds:datastoreItem xmlns:ds="http://schemas.openxmlformats.org/officeDocument/2006/customXml" ds:itemID="{120CD64E-DD37-46DF-A39A-1965FA8FD62C}"/>
</file>

<file path=customXML/itemProps4.xml><?xml version="1.0" encoding="utf-8"?>
<ds:datastoreItem xmlns:ds="http://schemas.openxmlformats.org/officeDocument/2006/customXml" ds:itemID="{B65BF067-EE28-424F-B63E-E0B3FDA98D98}"/>
</file>

<file path=customXML/itemProps5.xml><?xml version="1.0" encoding="utf-8"?>
<ds:datastoreItem xmlns:ds="http://schemas.openxmlformats.org/officeDocument/2006/customXml" ds:itemID="{88500243-7A64-473B-915F-485288069EAF}"/>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Nuwan Jayawickreme</dc:creator>
  <dcterms:created xsi:type="dcterms:W3CDTF">2024-05-21T19:30:00Z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811fe16df9da2107c92d9b9c6c893d216a2b70f884a5f374573eefc433565501</vt:lpwstr>
  </property>
  <property fmtid="{D5CDD505-2E9C-101B-9397-08002B2CF9AE}" pid="3" name="ContentTypeId">
    <vt:lpwstr>0x010100B5CB12306CCC974ABBDB0AFE320FA079</vt:lpwstr>
  </property>
  <property fmtid="{D5CDD505-2E9C-101B-9397-08002B2CF9AE}" pid="4" name="_dlc_DocIdItemGuid">
    <vt:lpwstr>c3f87695-533d-5e12-3a58-483be883ba6e</vt:lpwstr>
  </property>
</Properties>
</file>